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B4" w:rsidRPr="00E26CB4" w:rsidRDefault="00E26CB4" w:rsidP="001F7DDF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E26CB4">
        <w:rPr>
          <w:rFonts w:eastAsiaTheme="minorHAnsi" w:cstheme="minorBidi"/>
          <w:b/>
          <w:bCs/>
          <w:sz w:val="32"/>
          <w:szCs w:val="32"/>
          <w:lang w:eastAsia="en-US"/>
        </w:rPr>
        <w:t xml:space="preserve">ОТЧЕТ </w:t>
      </w:r>
    </w:p>
    <w:p w:rsidR="00E26CB4" w:rsidRPr="00E26CB4" w:rsidRDefault="00E26CB4" w:rsidP="001F7DDF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lang w:eastAsia="en-US"/>
        </w:rPr>
        <w:t>О РЕАЛИЗАЦИИ ПЛАНА МЕРОПРИЯТИЙ</w:t>
      </w:r>
      <w:r w:rsidR="001F7DDF" w:rsidRPr="001F7DDF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1F7DDF" w:rsidRPr="00E26CB4">
        <w:rPr>
          <w:rFonts w:eastAsiaTheme="minorHAnsi" w:cstheme="minorBidi"/>
          <w:b/>
          <w:bCs/>
          <w:sz w:val="28"/>
          <w:szCs w:val="28"/>
          <w:lang w:eastAsia="en-US"/>
        </w:rPr>
        <w:t>(«</w:t>
      </w:r>
      <w:r w:rsidRPr="00E26CB4">
        <w:rPr>
          <w:rFonts w:eastAsiaTheme="minorHAnsi" w:cstheme="minorBidi"/>
          <w:b/>
          <w:bCs/>
          <w:sz w:val="28"/>
          <w:szCs w:val="28"/>
          <w:lang w:eastAsia="en-US"/>
        </w:rPr>
        <w:t>Д</w:t>
      </w:r>
      <w:r w:rsidR="001F7DDF" w:rsidRPr="00E26CB4">
        <w:rPr>
          <w:rFonts w:eastAsiaTheme="minorHAnsi" w:cstheme="minorBidi"/>
          <w:b/>
          <w:bCs/>
          <w:sz w:val="28"/>
          <w:szCs w:val="28"/>
          <w:lang w:eastAsia="en-US"/>
        </w:rPr>
        <w:t>орожн</w:t>
      </w:r>
      <w:r w:rsidRPr="00E26CB4">
        <w:rPr>
          <w:rFonts w:eastAsiaTheme="minorHAnsi" w:cstheme="minorBidi"/>
          <w:b/>
          <w:bCs/>
          <w:sz w:val="28"/>
          <w:szCs w:val="28"/>
          <w:lang w:eastAsia="en-US"/>
        </w:rPr>
        <w:t>ой</w:t>
      </w:r>
      <w:r w:rsidR="001F7DDF" w:rsidRPr="00E26CB4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карт</w:t>
      </w:r>
      <w:r w:rsidRPr="00E26CB4">
        <w:rPr>
          <w:rFonts w:eastAsiaTheme="minorHAnsi" w:cstheme="minorBidi"/>
          <w:b/>
          <w:bCs/>
          <w:sz w:val="28"/>
          <w:szCs w:val="28"/>
          <w:lang w:eastAsia="en-US"/>
        </w:rPr>
        <w:t>ы</w:t>
      </w:r>
      <w:r w:rsidR="001F7DDF" w:rsidRPr="00E26CB4">
        <w:rPr>
          <w:rFonts w:eastAsiaTheme="minorHAnsi" w:cstheme="minorBidi"/>
          <w:b/>
          <w:bCs/>
          <w:sz w:val="28"/>
          <w:szCs w:val="28"/>
          <w:lang w:eastAsia="en-US"/>
        </w:rPr>
        <w:t>»)</w:t>
      </w:r>
    </w:p>
    <w:p w:rsidR="001F7DDF" w:rsidRPr="00E26CB4" w:rsidRDefault="001F7DDF" w:rsidP="001F7DDF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F7DDF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E26CB4" w:rsidRPr="00E26CB4">
        <w:rPr>
          <w:rFonts w:eastAsiaTheme="minorHAnsi" w:cstheme="minorBidi"/>
          <w:b/>
          <w:bCs/>
          <w:sz w:val="28"/>
          <w:szCs w:val="28"/>
          <w:lang w:eastAsia="en-US"/>
        </w:rPr>
        <w:t>ПО</w:t>
      </w:r>
      <w:r w:rsidRPr="00E26CB4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E26CB4">
        <w:rPr>
          <w:rFonts w:eastAsiaTheme="minorHAnsi" w:cstheme="minorBidi"/>
          <w:b/>
          <w:bCs/>
          <w:sz w:val="28"/>
          <w:szCs w:val="28"/>
          <w:lang w:eastAsia="en-US"/>
        </w:rPr>
        <w:t>СОДЕЙСТВИЮ РАЗВИТИЯ КОНКУРЕНЦИИ В МО «КИНГИСЕППСКИЙ МУНИЦИПАЛЬНЫЙ РАЙОН»</w:t>
      </w:r>
      <w:r w:rsidRPr="001F7DDF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E26CB4" w:rsidRPr="00E26CB4">
        <w:rPr>
          <w:rFonts w:eastAsiaTheme="minorHAnsi" w:cstheme="minorBidi"/>
          <w:b/>
          <w:bCs/>
          <w:sz w:val="28"/>
          <w:szCs w:val="28"/>
          <w:lang w:eastAsia="en-US"/>
        </w:rPr>
        <w:t>ЛЕНИНГРАДСКОЙ ОБЛАСТИ</w:t>
      </w:r>
      <w:r w:rsidR="00E26CB4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В 2019 ГОДУ</w:t>
      </w:r>
    </w:p>
    <w:p w:rsidR="00AB4B2E" w:rsidRPr="001F7DDF" w:rsidRDefault="00AB4B2E" w:rsidP="001F7DDF">
      <w:pPr>
        <w:jc w:val="center"/>
        <w:rPr>
          <w:rFonts w:eastAsiaTheme="minorHAnsi" w:cstheme="minorBidi"/>
          <w:bCs/>
          <w:sz w:val="20"/>
          <w:szCs w:val="20"/>
          <w:lang w:eastAsia="en-US"/>
        </w:rPr>
      </w:pPr>
      <w:r w:rsidRPr="00AB4B2E">
        <w:rPr>
          <w:rFonts w:eastAsiaTheme="minorHAnsi" w:cstheme="minorBidi"/>
          <w:bCs/>
          <w:sz w:val="20"/>
          <w:szCs w:val="20"/>
          <w:lang w:eastAsia="en-US"/>
        </w:rPr>
        <w:t>(утвержден</w:t>
      </w:r>
      <w:r w:rsidR="002D3F64">
        <w:rPr>
          <w:rFonts w:eastAsiaTheme="minorHAnsi" w:cstheme="minorBidi"/>
          <w:bCs/>
          <w:sz w:val="20"/>
          <w:szCs w:val="20"/>
          <w:lang w:eastAsia="en-US"/>
        </w:rPr>
        <w:t>а</w:t>
      </w:r>
      <w:r w:rsidRPr="00AB4B2E">
        <w:rPr>
          <w:rFonts w:eastAsiaTheme="minorHAnsi" w:cstheme="minorBidi"/>
          <w:bCs/>
          <w:sz w:val="20"/>
          <w:szCs w:val="20"/>
          <w:lang w:eastAsia="en-US"/>
        </w:rPr>
        <w:t xml:space="preserve"> постановлением администрации муниципального образования «</w:t>
      </w:r>
      <w:proofErr w:type="spellStart"/>
      <w:r w:rsidRPr="00AB4B2E">
        <w:rPr>
          <w:rFonts w:eastAsiaTheme="minorHAnsi" w:cstheme="minorBidi"/>
          <w:bCs/>
          <w:sz w:val="20"/>
          <w:szCs w:val="20"/>
          <w:lang w:eastAsia="en-US"/>
        </w:rPr>
        <w:t>Кингисеппский</w:t>
      </w:r>
      <w:proofErr w:type="spellEnd"/>
      <w:r w:rsidRPr="00AB4B2E">
        <w:rPr>
          <w:rFonts w:eastAsiaTheme="minorHAnsi" w:cstheme="minorBidi"/>
          <w:bCs/>
          <w:sz w:val="20"/>
          <w:szCs w:val="20"/>
          <w:lang w:eastAsia="en-US"/>
        </w:rPr>
        <w:t xml:space="preserve"> муниципальный </w:t>
      </w:r>
      <w:proofErr w:type="gramStart"/>
      <w:r w:rsidRPr="00AB4B2E">
        <w:rPr>
          <w:rFonts w:eastAsiaTheme="minorHAnsi" w:cstheme="minorBidi"/>
          <w:bCs/>
          <w:sz w:val="20"/>
          <w:szCs w:val="20"/>
          <w:lang w:eastAsia="en-US"/>
        </w:rPr>
        <w:t>район»  №</w:t>
      </w:r>
      <w:proofErr w:type="gramEnd"/>
      <w:r w:rsidRPr="00AB4B2E">
        <w:rPr>
          <w:rFonts w:eastAsiaTheme="minorHAnsi" w:cstheme="minorBidi"/>
          <w:bCs/>
          <w:sz w:val="20"/>
          <w:szCs w:val="20"/>
          <w:lang w:eastAsia="en-US"/>
        </w:rPr>
        <w:t xml:space="preserve"> 2385 от 15.10.2019 года)</w:t>
      </w:r>
    </w:p>
    <w:p w:rsidR="001F7DDF" w:rsidRPr="001F7DDF" w:rsidRDefault="001F7DDF" w:rsidP="001F7DDF">
      <w:pPr>
        <w:jc w:val="center"/>
        <w:rPr>
          <w:rFonts w:eastAsiaTheme="minorHAnsi" w:cstheme="minorBidi"/>
          <w:sz w:val="20"/>
          <w:szCs w:val="20"/>
          <w:lang w:eastAsia="en-US"/>
        </w:rPr>
      </w:pPr>
    </w:p>
    <w:p w:rsidR="001F7DDF" w:rsidRPr="001F7DDF" w:rsidRDefault="001F7DDF" w:rsidP="001F7DD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F7DDF">
        <w:rPr>
          <w:rFonts w:eastAsiaTheme="minorHAnsi"/>
          <w:b/>
          <w:sz w:val="28"/>
          <w:szCs w:val="28"/>
          <w:lang w:val="en-US" w:eastAsia="en-US"/>
        </w:rPr>
        <w:t>I</w:t>
      </w:r>
      <w:r w:rsidRPr="001F7DDF">
        <w:rPr>
          <w:rFonts w:eastAsiaTheme="minorHAnsi"/>
          <w:b/>
          <w:sz w:val="28"/>
          <w:szCs w:val="28"/>
          <w:lang w:eastAsia="en-US"/>
        </w:rPr>
        <w:t>. Мероприятия по содействию развитию конкуренции в отраслях (сферах) экономики Ленинградской области</w:t>
      </w:r>
    </w:p>
    <w:p w:rsidR="001F7DDF" w:rsidRPr="001F7DDF" w:rsidRDefault="001F7DDF" w:rsidP="001F7DD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709"/>
        <w:gridCol w:w="747"/>
        <w:gridCol w:w="727"/>
        <w:gridCol w:w="702"/>
        <w:gridCol w:w="1302"/>
        <w:gridCol w:w="2475"/>
        <w:gridCol w:w="2297"/>
      </w:tblGrid>
      <w:tr w:rsidR="001F7DDF" w:rsidRPr="001F7DDF" w:rsidTr="00AB4B2E">
        <w:tc>
          <w:tcPr>
            <w:tcW w:w="4679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4444" w:type="dxa"/>
            <w:gridSpan w:val="5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Значение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ключевого показателя развития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конкуренции</w:t>
            </w:r>
          </w:p>
        </w:tc>
        <w:tc>
          <w:tcPr>
            <w:tcW w:w="1302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475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Ответственный орган исполнительной власти Ленинградской области</w:t>
            </w:r>
          </w:p>
        </w:tc>
        <w:tc>
          <w:tcPr>
            <w:tcW w:w="2297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Мероприятия, направленные на достижение целевого показателя</w:t>
            </w:r>
          </w:p>
        </w:tc>
      </w:tr>
      <w:tr w:rsidR="001F7DDF" w:rsidRPr="001F7DDF" w:rsidTr="00AB4B2E">
        <w:tc>
          <w:tcPr>
            <w:tcW w:w="4679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F7DDF" w:rsidRPr="001F7DDF" w:rsidRDefault="001F7DDF" w:rsidP="00DF4257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Фактическое значение на 201</w:t>
            </w:r>
            <w:r w:rsidR="00DF425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747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727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702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302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7DDF" w:rsidRPr="001F7DDF" w:rsidTr="00AB4B2E">
        <w:tc>
          <w:tcPr>
            <w:tcW w:w="15197" w:type="dxa"/>
            <w:gridSpan w:val="9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 xml:space="preserve">1. Рынок услуг дошкольного образования 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      В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муниципальный район» насчитывается 23 муниципальные </w:t>
            </w:r>
            <w:proofErr w:type="gramStart"/>
            <w:r w:rsidRPr="001F7DDF">
              <w:rPr>
                <w:rFonts w:eastAsiaTheme="minorHAnsi"/>
                <w:lang w:eastAsia="en-US"/>
              </w:rPr>
              <w:t>дошкольные  организации</w:t>
            </w:r>
            <w:proofErr w:type="gramEnd"/>
            <w:r w:rsidRPr="001F7DDF">
              <w:rPr>
                <w:rFonts w:eastAsiaTheme="minorHAnsi"/>
                <w:lang w:eastAsia="en-US"/>
              </w:rPr>
              <w:t xml:space="preserve">. Общее количество детей в образовательных организациях, реализующих программу дошкольного </w:t>
            </w:r>
            <w:proofErr w:type="gramStart"/>
            <w:r w:rsidRPr="001F7DDF">
              <w:rPr>
                <w:rFonts w:eastAsiaTheme="minorHAnsi"/>
                <w:lang w:eastAsia="en-US"/>
              </w:rPr>
              <w:t>образования  –</w:t>
            </w:r>
            <w:proofErr w:type="gramEnd"/>
            <w:r w:rsidRPr="001F7DDF">
              <w:rPr>
                <w:rFonts w:eastAsiaTheme="minorHAnsi"/>
                <w:lang w:eastAsia="en-US"/>
              </w:rPr>
              <w:t xml:space="preserve"> на 01.01.20</w:t>
            </w:r>
            <w:r w:rsidR="00330492" w:rsidRPr="00AB4B2E">
              <w:rPr>
                <w:rFonts w:eastAsiaTheme="minorHAnsi"/>
                <w:lang w:eastAsia="en-US"/>
              </w:rPr>
              <w:t>20</w:t>
            </w:r>
            <w:r w:rsidRPr="001F7DDF">
              <w:rPr>
                <w:rFonts w:eastAsiaTheme="minorHAnsi"/>
                <w:lang w:eastAsia="en-US"/>
              </w:rPr>
              <w:t>г. – 4240 чел.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Услуги по реализации основной образовательной программы дошкольного образования оказывает </w:t>
            </w:r>
            <w:proofErr w:type="gramStart"/>
            <w:r w:rsidRPr="001F7DDF">
              <w:rPr>
                <w:rFonts w:eastAsiaTheme="minorHAnsi"/>
                <w:lang w:eastAsia="en-US"/>
              </w:rPr>
              <w:t>1  частный</w:t>
            </w:r>
            <w:proofErr w:type="gramEnd"/>
            <w:r w:rsidRPr="001F7DDF">
              <w:rPr>
                <w:rFonts w:eastAsiaTheme="minorHAnsi"/>
                <w:lang w:eastAsia="en-US"/>
              </w:rPr>
              <w:t xml:space="preserve"> детский сад.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Основные проблемы, сдерживающие развитие рынка: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- недостаточный уровень платежеспособности населения;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- наличие требований к организации для получения лицензии;</w:t>
            </w:r>
          </w:p>
          <w:p w:rsidR="001F7DDF" w:rsidRPr="00AB4B2E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- высокая стоимость аренды помещений, применимых к размещению организаций дошкольного образования.</w:t>
            </w:r>
          </w:p>
          <w:p w:rsidR="002D3F64" w:rsidRDefault="002D3F64" w:rsidP="00330492">
            <w:pPr>
              <w:pStyle w:val="a5"/>
              <w:ind w:left="-74" w:firstLine="74"/>
              <w:jc w:val="both"/>
            </w:pPr>
          </w:p>
          <w:p w:rsidR="00330492" w:rsidRDefault="00330492" w:rsidP="00330492">
            <w:pPr>
              <w:pStyle w:val="a5"/>
              <w:ind w:left="-74" w:firstLine="74"/>
              <w:jc w:val="both"/>
            </w:pPr>
            <w:r w:rsidRPr="00E26CB4">
              <w:rPr>
                <w:b/>
              </w:rPr>
              <w:t>В 2019</w:t>
            </w:r>
            <w:r w:rsidRPr="00AB4B2E">
              <w:t xml:space="preserve"> </w:t>
            </w:r>
            <w:proofErr w:type="spellStart"/>
            <w:r w:rsidRPr="00AB4B2E">
              <w:t>г.Кингисеппе</w:t>
            </w:r>
            <w:proofErr w:type="spellEnd"/>
            <w:r w:rsidRPr="00AB4B2E">
              <w:t xml:space="preserve"> 1 частный детский сад оказывал услуги по присмотру и уходу за детьми дошкольного возраста. В 2019 году работниками комитета по образованию оказывалась консультативная помощь по вопросам получения лицензии на образовательную деятельность по реализации основной образовательной программы дошкольного образования. Значение целевых показателей </w:t>
            </w:r>
            <w:r w:rsidR="004F287A">
              <w:t xml:space="preserve">за 2019 год </w:t>
            </w:r>
            <w:r w:rsidRPr="00AB4B2E">
              <w:t xml:space="preserve">достигнуты на 100%. </w:t>
            </w:r>
          </w:p>
          <w:p w:rsidR="00E26CB4" w:rsidRDefault="00E26CB4" w:rsidP="00330492">
            <w:pPr>
              <w:pStyle w:val="a5"/>
              <w:ind w:left="-74" w:firstLine="74"/>
              <w:jc w:val="both"/>
              <w:rPr>
                <w:b/>
                <w:bCs/>
              </w:rPr>
            </w:pPr>
          </w:p>
          <w:p w:rsidR="00E26CB4" w:rsidRDefault="00E26CB4" w:rsidP="00330492">
            <w:pPr>
              <w:pStyle w:val="a5"/>
              <w:ind w:left="-74" w:firstLine="74"/>
              <w:jc w:val="both"/>
              <w:rPr>
                <w:b/>
                <w:bCs/>
              </w:rPr>
            </w:pPr>
          </w:p>
          <w:p w:rsidR="00E26CB4" w:rsidRPr="00AB4B2E" w:rsidRDefault="00E26CB4" w:rsidP="00330492">
            <w:pPr>
              <w:pStyle w:val="a5"/>
              <w:ind w:left="-74" w:firstLine="74"/>
              <w:jc w:val="both"/>
              <w:rPr>
                <w:b/>
                <w:bCs/>
              </w:rPr>
            </w:pPr>
          </w:p>
          <w:p w:rsidR="00330492" w:rsidRPr="001F7DDF" w:rsidRDefault="00330492" w:rsidP="00330492">
            <w:pPr>
              <w:ind w:left="-74" w:firstLine="74"/>
              <w:jc w:val="both"/>
              <w:rPr>
                <w:rFonts w:eastAsiaTheme="minorHAnsi"/>
                <w:b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1559"/>
        <w:gridCol w:w="709"/>
        <w:gridCol w:w="747"/>
        <w:gridCol w:w="727"/>
        <w:gridCol w:w="702"/>
        <w:gridCol w:w="1302"/>
        <w:gridCol w:w="2475"/>
        <w:gridCol w:w="2297"/>
      </w:tblGrid>
      <w:tr w:rsidR="001F7DDF" w:rsidRPr="001F7DDF" w:rsidTr="00AB4B2E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Количество организаций частной формы собственности, оказывающих услуги в сфере дошкольного образования</w:t>
            </w:r>
          </w:p>
        </w:tc>
        <w:tc>
          <w:tcPr>
            <w:tcW w:w="155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7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7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2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2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475" w:type="dxa"/>
          </w:tcPr>
          <w:p w:rsidR="001F7DDF" w:rsidRPr="001F7DDF" w:rsidRDefault="001F7DDF" w:rsidP="001F7DDF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Комитет экономического развития и </w:t>
            </w:r>
            <w:proofErr w:type="spellStart"/>
            <w:proofErr w:type="gramStart"/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инвестицион</w:t>
            </w:r>
            <w:proofErr w:type="spellEnd"/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-ной</w:t>
            </w:r>
            <w:proofErr w:type="gramEnd"/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политики,   </w:t>
            </w:r>
          </w:p>
          <w:p w:rsidR="001F7DDF" w:rsidRPr="001F7DDF" w:rsidRDefault="001F7DDF" w:rsidP="001F7DDF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МКУ «Центр развития малого бизнеса и потребительского рынка»,  </w:t>
            </w:r>
          </w:p>
          <w:p w:rsidR="001F7DDF" w:rsidRPr="001F7DDF" w:rsidRDefault="001F7DDF" w:rsidP="001F7DDF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комитет по образованию </w:t>
            </w:r>
            <w:proofErr w:type="spellStart"/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Кингисеппского</w:t>
            </w:r>
            <w:proofErr w:type="spellEnd"/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1F7DDF">
              <w:rPr>
                <w:rFonts w:eastAsiaTheme="minorHAnsi" w:cstheme="minorBidi"/>
                <w:lang w:eastAsia="en-US"/>
              </w:rPr>
              <w:t xml:space="preserve">  </w:t>
            </w:r>
          </w:p>
        </w:tc>
        <w:tc>
          <w:tcPr>
            <w:tcW w:w="2297" w:type="dxa"/>
          </w:tcPr>
          <w:p w:rsidR="001F7DDF" w:rsidRPr="001F7DDF" w:rsidRDefault="001F7DDF" w:rsidP="00E26CB4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образования. Организационно-методическая и информационно-консультативная помощь</w:t>
            </w:r>
          </w:p>
        </w:tc>
      </w:tr>
      <w:tr w:rsidR="001F7DDF" w:rsidRPr="001F7DDF" w:rsidTr="00AB4B2E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55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47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7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2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302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Проц.</w:t>
            </w:r>
          </w:p>
        </w:tc>
        <w:tc>
          <w:tcPr>
            <w:tcW w:w="2475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color w:val="00B050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Комитет по образованию </w:t>
            </w:r>
            <w:proofErr w:type="spellStart"/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Кингисеппского</w:t>
            </w:r>
            <w:proofErr w:type="spellEnd"/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1F7DDF">
              <w:rPr>
                <w:rFonts w:eastAsiaTheme="minorHAnsi" w:cstheme="minorBidi"/>
                <w:lang w:eastAsia="en-US"/>
              </w:rPr>
              <w:t xml:space="preserve">  </w:t>
            </w:r>
          </w:p>
        </w:tc>
        <w:tc>
          <w:tcPr>
            <w:tcW w:w="2297" w:type="dxa"/>
          </w:tcPr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sz w:val="20"/>
                <w:szCs w:val="20"/>
                <w:lang w:eastAsia="en-US"/>
              </w:rPr>
            </w:pPr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Оказание консультативной помощи по вопросам получении лицензии на образовательную деятельность. Организационно-методичес</w:t>
            </w:r>
            <w:bookmarkStart w:id="0" w:name="_GoBack"/>
            <w:bookmarkEnd w:id="0"/>
            <w:r w:rsidRPr="001F7DDF">
              <w:rPr>
                <w:rFonts w:eastAsiaTheme="minorHAnsi" w:cstheme="minorBidi"/>
                <w:sz w:val="20"/>
                <w:szCs w:val="20"/>
                <w:lang w:eastAsia="en-US"/>
              </w:rPr>
              <w:t>кая и информационно-консультативная помощь</w:t>
            </w:r>
            <w:r w:rsidRPr="001F7DDF">
              <w:rPr>
                <w:rFonts w:eastAsiaTheme="minorHAnsi" w:cstheme="minorBidi"/>
                <w:color w:val="00B050"/>
                <w:sz w:val="20"/>
                <w:szCs w:val="20"/>
                <w:lang w:eastAsia="en-US"/>
              </w:rPr>
              <w:t xml:space="preserve"> </w:t>
            </w: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sz w:val="20"/>
                <w:szCs w:val="20"/>
                <w:lang w:eastAsia="en-US"/>
              </w:rPr>
            </w:pP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sz w:val="20"/>
                <w:szCs w:val="20"/>
                <w:lang w:eastAsia="en-US"/>
              </w:rPr>
            </w:pP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sz w:val="20"/>
                <w:szCs w:val="20"/>
                <w:lang w:eastAsia="en-US"/>
              </w:rPr>
            </w:pP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sz w:val="20"/>
                <w:szCs w:val="20"/>
                <w:lang w:eastAsia="en-US"/>
              </w:rPr>
            </w:pP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6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42"/>
        <w:gridCol w:w="709"/>
        <w:gridCol w:w="747"/>
        <w:gridCol w:w="55"/>
        <w:gridCol w:w="672"/>
        <w:gridCol w:w="55"/>
        <w:gridCol w:w="647"/>
        <w:gridCol w:w="55"/>
        <w:gridCol w:w="1247"/>
        <w:gridCol w:w="55"/>
        <w:gridCol w:w="2166"/>
        <w:gridCol w:w="254"/>
        <w:gridCol w:w="2297"/>
      </w:tblGrid>
      <w:tr w:rsidR="001F7DDF" w:rsidRPr="001F7DDF" w:rsidTr="002D3F64">
        <w:tc>
          <w:tcPr>
            <w:tcW w:w="15197" w:type="dxa"/>
            <w:gridSpan w:val="15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>2. Рынок услуг общего образования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В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муниципальный район» насчитывается 17 муниципальных образовательных организаций общего образования. Общее количество детей в образовательных организациях, реализующих программы общего образования составляет </w:t>
            </w:r>
            <w:r w:rsidRPr="001F7DD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на </w:t>
            </w:r>
            <w:r w:rsidRPr="001F7DDF">
              <w:rPr>
                <w:rFonts w:eastAsiaTheme="minorHAnsi"/>
                <w:lang w:eastAsia="en-US"/>
              </w:rPr>
              <w:t>01.01.20</w:t>
            </w:r>
            <w:r w:rsidR="00330492">
              <w:rPr>
                <w:rFonts w:eastAsiaTheme="minorHAnsi"/>
                <w:lang w:eastAsia="en-US"/>
              </w:rPr>
              <w:t>20</w:t>
            </w:r>
            <w:r w:rsidRPr="001F7DDF">
              <w:rPr>
                <w:rFonts w:eastAsiaTheme="minorHAnsi"/>
                <w:lang w:eastAsia="en-US"/>
              </w:rPr>
              <w:t>г. – 7 </w:t>
            </w:r>
            <w:proofErr w:type="gramStart"/>
            <w:r w:rsidRPr="001F7DDF">
              <w:rPr>
                <w:rFonts w:eastAsiaTheme="minorHAnsi"/>
                <w:lang w:eastAsia="en-US"/>
              </w:rPr>
              <w:t>33</w:t>
            </w:r>
            <w:r w:rsidR="00DF4257">
              <w:rPr>
                <w:rFonts w:eastAsiaTheme="minorHAnsi"/>
                <w:lang w:eastAsia="en-US"/>
              </w:rPr>
              <w:t>2</w:t>
            </w:r>
            <w:r w:rsidRPr="001F7DDF">
              <w:rPr>
                <w:rFonts w:eastAsiaTheme="minorHAnsi"/>
                <w:lang w:eastAsia="en-US"/>
              </w:rPr>
              <w:t xml:space="preserve"> </w:t>
            </w:r>
            <w:r w:rsidRPr="001F7DD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1F7DDF">
              <w:rPr>
                <w:rFonts w:eastAsiaTheme="minorHAnsi"/>
                <w:lang w:eastAsia="en-US"/>
              </w:rPr>
              <w:t>человек</w:t>
            </w:r>
            <w:proofErr w:type="gramEnd"/>
            <w:r w:rsidRPr="001F7DDF">
              <w:rPr>
                <w:rFonts w:eastAsiaTheme="minorHAnsi"/>
                <w:lang w:eastAsia="en-US"/>
              </w:rPr>
              <w:t>.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В том числе услуги по реализации образовательной программы общего образования предлагает 1 образовательная организация частной формы собственности (школа православной культуры).  Численность обучающихся составляет 120 детей.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Кроме того, осуществляет деятельность ГКОУ ЛО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Лесобиржская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школа-интернат» на 132 места.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Основные проблемы, сдерживающие развитие рынка: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- отсутствие объектов инфраструктуры, соответствующих требованиям законодательства Российской Федерации и, как следствие, затруднения в получении лицензии и прохождения аккредитации;</w:t>
            </w:r>
          </w:p>
          <w:p w:rsidR="00DF4257" w:rsidRDefault="001F7DDF" w:rsidP="00DF4257">
            <w:pPr>
              <w:pStyle w:val="a5"/>
              <w:jc w:val="both"/>
              <w:rPr>
                <w:sz w:val="28"/>
                <w:szCs w:val="28"/>
              </w:rPr>
            </w:pPr>
            <w:r w:rsidRPr="001F7DDF">
              <w:rPr>
                <w:rFonts w:eastAsiaTheme="minorHAnsi"/>
                <w:lang w:eastAsia="en-US"/>
              </w:rPr>
              <w:t>- высокая стоимость услуг частных организаций общего образования на фоне ориентации потребителей на получение бесплатных услуг в данной сфере.</w:t>
            </w:r>
            <w:r w:rsidR="00DF4257" w:rsidRPr="00DB19A4">
              <w:rPr>
                <w:sz w:val="28"/>
                <w:szCs w:val="28"/>
              </w:rPr>
              <w:t xml:space="preserve"> </w:t>
            </w:r>
          </w:p>
          <w:p w:rsidR="00DF4257" w:rsidRPr="00AB4B2E" w:rsidRDefault="00DF4257" w:rsidP="00DF4257">
            <w:pPr>
              <w:pStyle w:val="a5"/>
              <w:ind w:left="0" w:firstLine="68"/>
              <w:jc w:val="both"/>
            </w:pPr>
            <w:proofErr w:type="gramStart"/>
            <w:r w:rsidRPr="00E26CB4">
              <w:rPr>
                <w:b/>
              </w:rPr>
              <w:t>В  течение</w:t>
            </w:r>
            <w:proofErr w:type="gramEnd"/>
            <w:r w:rsidRPr="00E26CB4">
              <w:rPr>
                <w:b/>
              </w:rPr>
              <w:t xml:space="preserve"> 20</w:t>
            </w:r>
            <w:r w:rsidR="004F287A" w:rsidRPr="00E26CB4">
              <w:rPr>
                <w:b/>
              </w:rPr>
              <w:t>19</w:t>
            </w:r>
            <w:r w:rsidRPr="00E26CB4">
              <w:rPr>
                <w:b/>
              </w:rPr>
              <w:t xml:space="preserve"> года</w:t>
            </w:r>
            <w:r w:rsidRPr="00AB4B2E">
              <w:t xml:space="preserve"> в системе общего образования в МО «</w:t>
            </w:r>
            <w:proofErr w:type="spellStart"/>
            <w:r w:rsidRPr="00AB4B2E">
              <w:t>Кингисеппский</w:t>
            </w:r>
            <w:proofErr w:type="spellEnd"/>
            <w:r w:rsidRPr="00AB4B2E">
              <w:t xml:space="preserve"> муниципальный район» реализация общеобразовательной программы общего образования осуществляется также в 1 общеобразовательной организации частной формы собственности (школа православной культуры).  Численность обучающихся составляет 120 детей.</w:t>
            </w:r>
          </w:p>
          <w:p w:rsidR="00DF4257" w:rsidRPr="00AB4B2E" w:rsidRDefault="00DF4257" w:rsidP="00DF4257">
            <w:pPr>
              <w:pStyle w:val="a5"/>
              <w:ind w:left="-74" w:firstLine="74"/>
              <w:jc w:val="both"/>
              <w:rPr>
                <w:b/>
                <w:bCs/>
              </w:rPr>
            </w:pPr>
            <w:r w:rsidRPr="00AB4B2E">
              <w:t xml:space="preserve">Комитетом по образованию постоянно оказывается организационно-методическая, информационно-консультативная помощь администрации и педагогическому коллективу школы по всем вопросам организации образовательной деятельности. Значение целевых показателей достигнуты на 100%. </w:t>
            </w:r>
          </w:p>
          <w:p w:rsidR="00DF4257" w:rsidRPr="00AB4B2E" w:rsidRDefault="00DF4257" w:rsidP="00DF4257">
            <w:pPr>
              <w:pStyle w:val="a5"/>
              <w:ind w:left="0" w:firstLine="68"/>
              <w:jc w:val="both"/>
              <w:rPr>
                <w:b/>
              </w:rPr>
            </w:pPr>
          </w:p>
          <w:p w:rsidR="00DF4257" w:rsidRPr="001F7DDF" w:rsidRDefault="00DF4257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F7DDF" w:rsidRPr="001F7DDF" w:rsidTr="002D3F64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>Количество организаций частной формы собственности, оказывающих услуги в сфере общего образования</w:t>
            </w:r>
          </w:p>
        </w:tc>
        <w:tc>
          <w:tcPr>
            <w:tcW w:w="1559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709" w:type="dxa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747" w:type="dxa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727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702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3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Ед.</w:t>
            </w:r>
          </w:p>
        </w:tc>
        <w:tc>
          <w:tcPr>
            <w:tcW w:w="2475" w:type="dxa"/>
            <w:gridSpan w:val="3"/>
          </w:tcPr>
          <w:p w:rsidR="001F7DDF" w:rsidRPr="001F7DDF" w:rsidRDefault="001F7DDF" w:rsidP="001F7DDF">
            <w:pPr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Комитет по образованию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Кингисеппского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муниципального района  </w:t>
            </w:r>
          </w:p>
        </w:tc>
        <w:tc>
          <w:tcPr>
            <w:tcW w:w="2297" w:type="dxa"/>
          </w:tcPr>
          <w:p w:rsidR="001F7DDF" w:rsidRPr="001F7DDF" w:rsidRDefault="001F7DDF" w:rsidP="00E26CB4">
            <w:pPr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Оказание консультативной помощи по вопросам создания частных образовательных организаций. Организационно-методическая и информационно-консультативная помощь</w:t>
            </w:r>
          </w:p>
        </w:tc>
      </w:tr>
      <w:tr w:rsidR="001F7DDF" w:rsidRPr="001F7DDF" w:rsidTr="002D3F64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>общеобразовательные программы - образовательные программы начального общего, основного общего, среднего общего образования,</w:t>
            </w:r>
          </w:p>
        </w:tc>
        <w:tc>
          <w:tcPr>
            <w:tcW w:w="1559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>1,7</w:t>
            </w:r>
          </w:p>
        </w:tc>
        <w:tc>
          <w:tcPr>
            <w:tcW w:w="709" w:type="dxa"/>
          </w:tcPr>
          <w:p w:rsidR="001F7DDF" w:rsidRPr="001F7DDF" w:rsidRDefault="001F7DDF" w:rsidP="00DF425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1,</w:t>
            </w:r>
            <w:r w:rsidR="00DF4257" w:rsidRPr="00DF4257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747" w:type="dxa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1,7</w:t>
            </w:r>
          </w:p>
        </w:tc>
        <w:tc>
          <w:tcPr>
            <w:tcW w:w="727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1,7</w:t>
            </w:r>
          </w:p>
        </w:tc>
        <w:tc>
          <w:tcPr>
            <w:tcW w:w="702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1,7</w:t>
            </w:r>
          </w:p>
        </w:tc>
        <w:tc>
          <w:tcPr>
            <w:tcW w:w="13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Проц.</w:t>
            </w:r>
          </w:p>
        </w:tc>
        <w:tc>
          <w:tcPr>
            <w:tcW w:w="2475" w:type="dxa"/>
            <w:gridSpan w:val="3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color w:val="00B050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Комитет по образованию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Кингисеппского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муниципального района  </w:t>
            </w:r>
          </w:p>
        </w:tc>
        <w:tc>
          <w:tcPr>
            <w:tcW w:w="2297" w:type="dxa"/>
          </w:tcPr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Оказание консультативной помощи по вопросам получении лицензии на образовательную деятельность. Организационно-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>методическая и информационно-консультативная помощь</w:t>
            </w:r>
            <w:r w:rsidRPr="001F7DDF">
              <w:rPr>
                <w:rFonts w:eastAsiaTheme="minorHAnsi" w:cstheme="minorBidi"/>
                <w:color w:val="00B050"/>
                <w:lang w:eastAsia="en-US"/>
              </w:rPr>
              <w:t xml:space="preserve"> </w:t>
            </w: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lang w:eastAsia="en-US"/>
              </w:rPr>
            </w:pP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lang w:eastAsia="en-US"/>
              </w:rPr>
            </w:pP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lang w:eastAsia="en-US"/>
              </w:rPr>
            </w:pP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lang w:eastAsia="en-US"/>
              </w:rPr>
            </w:pPr>
          </w:p>
          <w:p w:rsidR="001F7DDF" w:rsidRPr="001F7DDF" w:rsidRDefault="001F7DDF" w:rsidP="001F7DDF">
            <w:pPr>
              <w:rPr>
                <w:rFonts w:eastAsiaTheme="minorHAnsi" w:cstheme="minorBidi"/>
                <w:color w:val="00B050"/>
                <w:lang w:eastAsia="en-US"/>
              </w:rPr>
            </w:pPr>
          </w:p>
        </w:tc>
      </w:tr>
      <w:tr w:rsidR="001F7DDF" w:rsidRPr="001F7DDF" w:rsidTr="002D3F64">
        <w:tc>
          <w:tcPr>
            <w:tcW w:w="15197" w:type="dxa"/>
            <w:gridSpan w:val="15"/>
          </w:tcPr>
          <w:p w:rsidR="00AB4B2E" w:rsidRDefault="00AB4B2E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>3. Рынок услуг дополнительного образования детей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В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муниципальный район» насчитывается 9 учреждений дополнительного образования 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с числом обучающихся на </w:t>
            </w:r>
            <w:r w:rsidRPr="00E26CB4">
              <w:rPr>
                <w:rFonts w:eastAsiaTheme="minorHAnsi"/>
                <w:b/>
                <w:lang w:eastAsia="en-US"/>
              </w:rPr>
              <w:t>01.01.20</w:t>
            </w:r>
            <w:r w:rsidR="00DF4257" w:rsidRPr="00E26CB4">
              <w:rPr>
                <w:rFonts w:eastAsiaTheme="minorHAnsi"/>
                <w:b/>
                <w:lang w:eastAsia="en-US"/>
              </w:rPr>
              <w:t>20</w:t>
            </w:r>
            <w:r w:rsidRPr="00E26CB4">
              <w:rPr>
                <w:rFonts w:eastAsiaTheme="minorHAnsi"/>
                <w:b/>
                <w:lang w:eastAsia="en-US"/>
              </w:rPr>
              <w:t>г</w:t>
            </w:r>
            <w:r w:rsidRPr="001F7DDF">
              <w:rPr>
                <w:rFonts w:eastAsiaTheme="minorHAnsi"/>
                <w:lang w:eastAsia="en-US"/>
              </w:rPr>
              <w:t xml:space="preserve">. – 5 570 чел. 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F7DDF">
              <w:rPr>
                <w:rFonts w:eastAsiaTheme="minorHAnsi"/>
                <w:lang w:eastAsia="en-US"/>
              </w:rPr>
              <w:t>Кроме того</w:t>
            </w:r>
            <w:proofErr w:type="gramEnd"/>
            <w:r w:rsidRPr="001F7DDF">
              <w:rPr>
                <w:rFonts w:eastAsiaTheme="minorHAnsi"/>
                <w:lang w:eastAsia="en-US"/>
              </w:rPr>
              <w:t xml:space="preserve"> дополнительные образовательные программы реализуются на базе общеобразовательных учреждений и учреждений дошкольного образования.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Основные проблемы, сдерживающие развитие рынка:</w:t>
            </w:r>
          </w:p>
          <w:p w:rsidR="00DF4257" w:rsidRPr="00AB4B2E" w:rsidRDefault="001F7DDF" w:rsidP="00DF4257">
            <w:pPr>
              <w:pStyle w:val="a5"/>
              <w:ind w:left="-74" w:firstLine="74"/>
              <w:jc w:val="both"/>
              <w:rPr>
                <w:b/>
                <w:bCs/>
              </w:rPr>
            </w:pPr>
            <w:r w:rsidRPr="001F7DDF">
              <w:rPr>
                <w:rFonts w:eastAsiaTheme="minorHAnsi"/>
                <w:lang w:eastAsia="en-US"/>
              </w:rPr>
              <w:t>- недостаточный уровень платежеспособности населения.</w:t>
            </w:r>
            <w:r w:rsidR="00DF4257" w:rsidRPr="00AB4B2E">
              <w:t xml:space="preserve"> Комитетом по образованию, образовательными учреждениями в 2019 году проводилась совместная работа с общественными организациями, осуществляющими деятельность в сфере патриотического воспитания и дополнительного образования </w:t>
            </w:r>
            <w:proofErr w:type="gramStart"/>
            <w:r w:rsidR="00DF4257" w:rsidRPr="00AB4B2E">
              <w:t>детей  (</w:t>
            </w:r>
            <w:proofErr w:type="gramEnd"/>
            <w:r w:rsidR="00DF4257" w:rsidRPr="00AB4B2E">
              <w:t xml:space="preserve">ДОСААФ, Союз десантников, военно-патриотический клуб «47-й рубеж»), по созданию и организации работы юнармейских отрядов, Российского движения школьников. Оказывалась организационно-методическая и информационно-консультативная помощь в работе данных общественных организаций. Значение целевых показателей </w:t>
            </w:r>
            <w:r w:rsidR="006744A7" w:rsidRPr="00AB4B2E">
              <w:t>выполнены</w:t>
            </w:r>
            <w:r w:rsidR="00DF4257" w:rsidRPr="00AB4B2E">
              <w:t xml:space="preserve">. </w:t>
            </w:r>
          </w:p>
          <w:p w:rsidR="001F7DDF" w:rsidRPr="001F7DDF" w:rsidRDefault="001F7DDF" w:rsidP="001F7DDF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1F7DDF" w:rsidRPr="001F7DDF" w:rsidTr="002D3F64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59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1,15</w:t>
            </w:r>
          </w:p>
        </w:tc>
        <w:tc>
          <w:tcPr>
            <w:tcW w:w="70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color w:val="FF0000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1,5</w:t>
            </w:r>
          </w:p>
        </w:tc>
        <w:tc>
          <w:tcPr>
            <w:tcW w:w="8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2,2</w:t>
            </w:r>
          </w:p>
        </w:tc>
        <w:tc>
          <w:tcPr>
            <w:tcW w:w="727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3,5</w:t>
            </w:r>
          </w:p>
        </w:tc>
        <w:tc>
          <w:tcPr>
            <w:tcW w:w="7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3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Проц.</w:t>
            </w:r>
          </w:p>
        </w:tc>
        <w:tc>
          <w:tcPr>
            <w:tcW w:w="2166" w:type="dxa"/>
          </w:tcPr>
          <w:p w:rsidR="001F7DDF" w:rsidRPr="001F7DDF" w:rsidRDefault="001F7DDF" w:rsidP="001F7DDF">
            <w:pPr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Комитет по образованию </w:t>
            </w:r>
          </w:p>
        </w:tc>
        <w:tc>
          <w:tcPr>
            <w:tcW w:w="2551" w:type="dxa"/>
            <w:gridSpan w:val="2"/>
          </w:tcPr>
          <w:p w:rsidR="001F7DDF" w:rsidRPr="001F7DDF" w:rsidRDefault="001F7DDF" w:rsidP="001F7DDF">
            <w:pPr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Консультационная помощь организациям частной формы собственности в оказании услуг дополнительного образования</w:t>
            </w:r>
          </w:p>
        </w:tc>
      </w:tr>
      <w:tr w:rsidR="001F7DDF" w:rsidRPr="001F7DDF" w:rsidTr="002D3F64">
        <w:tc>
          <w:tcPr>
            <w:tcW w:w="15197" w:type="dxa"/>
            <w:gridSpan w:val="15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 xml:space="preserve">4. Рынок услуг детского отдыха и оздоровления </w:t>
            </w:r>
          </w:p>
          <w:p w:rsidR="001F7DDF" w:rsidRPr="001F7DDF" w:rsidRDefault="001F7DDF" w:rsidP="001F7DDF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В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муниципальный район» по состоянию проживает 10934 детей в возрасте от 5 до 18 лет (включительно). 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На базе общеобразовательных учреждений работали 44 оздоровительных лагеря с дневным пребыванием детей, в них </w:t>
            </w:r>
            <w:proofErr w:type="gramStart"/>
            <w:r w:rsidRPr="001F7DDF">
              <w:rPr>
                <w:rFonts w:eastAsiaTheme="minorHAnsi"/>
                <w:lang w:eastAsia="en-US"/>
              </w:rPr>
              <w:t>отдохнули  1160</w:t>
            </w:r>
            <w:proofErr w:type="gramEnd"/>
            <w:r w:rsidRPr="001F7DDF">
              <w:rPr>
                <w:rFonts w:eastAsiaTheme="minorHAnsi"/>
                <w:lang w:eastAsia="en-US"/>
              </w:rPr>
              <w:t xml:space="preserve"> детей. В 4 смены была организована работа загородного оздоровительного лагеря «Бригантина» с общим охватом 295 чел.  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 xml:space="preserve">Всего различными организованными формами оздоровления, отдыха и </w:t>
            </w:r>
            <w:proofErr w:type="gramStart"/>
            <w:r w:rsidRPr="001F7DDF">
              <w:rPr>
                <w:rFonts w:eastAsiaTheme="minorHAnsi"/>
                <w:lang w:eastAsia="en-US"/>
              </w:rPr>
              <w:t>занятости  охвачено</w:t>
            </w:r>
            <w:proofErr w:type="gramEnd"/>
            <w:r w:rsidRPr="001F7DDF">
              <w:rPr>
                <w:rFonts w:eastAsiaTheme="minorHAnsi"/>
                <w:lang w:eastAsia="en-US"/>
              </w:rPr>
              <w:t xml:space="preserve">  83 % обучающихся ОУ.</w:t>
            </w:r>
          </w:p>
          <w:p w:rsidR="001F7DDF" w:rsidRPr="001F7DDF" w:rsidRDefault="001F7DDF" w:rsidP="001F7DDF">
            <w:pPr>
              <w:jc w:val="both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Основные проблемы, сдерживающие развитие рынка:</w:t>
            </w:r>
          </w:p>
          <w:p w:rsidR="00DF4257" w:rsidRPr="00AB4B2E" w:rsidRDefault="001F7DDF" w:rsidP="00DF4257">
            <w:pPr>
              <w:pStyle w:val="a5"/>
              <w:jc w:val="both"/>
            </w:pPr>
            <w:r w:rsidRPr="001F7DDF">
              <w:rPr>
                <w:rFonts w:eastAsiaTheme="minorHAnsi"/>
                <w:lang w:eastAsia="en-US"/>
              </w:rPr>
              <w:t>- недостаточный уровень платежеспособности населения.</w:t>
            </w:r>
            <w:r w:rsidR="00DF4257" w:rsidRPr="00AB4B2E">
              <w:t xml:space="preserve"> </w:t>
            </w:r>
          </w:p>
          <w:p w:rsidR="00DF4257" w:rsidRPr="00AB4B2E" w:rsidRDefault="00DF4257" w:rsidP="00DF4257">
            <w:pPr>
              <w:pStyle w:val="a5"/>
              <w:ind w:left="-74" w:firstLine="74"/>
              <w:jc w:val="both"/>
              <w:rPr>
                <w:b/>
                <w:bCs/>
              </w:rPr>
            </w:pPr>
            <w:r w:rsidRPr="00E26CB4">
              <w:rPr>
                <w:b/>
              </w:rPr>
              <w:t>В июле 2019 года</w:t>
            </w:r>
            <w:r w:rsidRPr="00AB4B2E">
              <w:t xml:space="preserve"> на территории муниципального загородного лагеря «Бригантина» совместно с Ленинградским областным отделением Всероссийской общественной организации «Русское географическое общество» для детей 12-16 лет была организована работа палаточного лагеря «Полевая археологическая школа» с охватом 30 человек. Комитетом по образованию оказывалась организационно-методическая, информационно-консультативная помощь в организации работы лагеря. Значение целевых показателей </w:t>
            </w:r>
            <w:r w:rsidR="006744A7" w:rsidRPr="00AB4B2E">
              <w:t>выполнены</w:t>
            </w:r>
            <w:r w:rsidRPr="00AB4B2E">
              <w:t xml:space="preserve">. </w:t>
            </w:r>
          </w:p>
          <w:p w:rsidR="00DF4257" w:rsidRPr="00AB4B2E" w:rsidRDefault="00DF4257" w:rsidP="00DF4257">
            <w:pPr>
              <w:pStyle w:val="a5"/>
              <w:jc w:val="both"/>
            </w:pPr>
          </w:p>
          <w:p w:rsidR="001F7DDF" w:rsidRPr="001F7DDF" w:rsidRDefault="001F7DDF" w:rsidP="001F7DDF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1F7DDF" w:rsidRPr="001F7DDF" w:rsidTr="002D3F64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>Доля организаций отдыха и оздоровления детей частной формы собственности</w:t>
            </w:r>
          </w:p>
        </w:tc>
        <w:tc>
          <w:tcPr>
            <w:tcW w:w="1559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09" w:type="dxa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color w:val="FF0000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8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27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13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Проц.</w:t>
            </w:r>
          </w:p>
        </w:tc>
        <w:tc>
          <w:tcPr>
            <w:tcW w:w="2166" w:type="dxa"/>
          </w:tcPr>
          <w:p w:rsidR="001F7DDF" w:rsidRPr="001F7DDF" w:rsidRDefault="001F7DDF" w:rsidP="001F7DDF">
            <w:pPr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Комитет по образованию</w:t>
            </w:r>
          </w:p>
        </w:tc>
        <w:tc>
          <w:tcPr>
            <w:tcW w:w="2551" w:type="dxa"/>
            <w:gridSpan w:val="2"/>
          </w:tcPr>
          <w:p w:rsidR="001F7DDF" w:rsidRPr="001F7DDF" w:rsidRDefault="001F7DDF" w:rsidP="001F7DDF">
            <w:pPr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Предоставление частичной компенсации стоимости путевки родителю (законному представителю) ребенка</w:t>
            </w:r>
          </w:p>
        </w:tc>
      </w:tr>
      <w:tr w:rsidR="001F7DDF" w:rsidRPr="001F7DDF" w:rsidTr="002D3F64">
        <w:tc>
          <w:tcPr>
            <w:tcW w:w="15197" w:type="dxa"/>
            <w:gridSpan w:val="15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>5. Рынок оказания услуг по перевозке пассажиров автомобильным транспортом по муниципальным маршрутам регулярных перевозок.</w:t>
            </w:r>
          </w:p>
          <w:p w:rsidR="001F7DDF" w:rsidRPr="001F7DDF" w:rsidRDefault="001F7DDF" w:rsidP="00DF4257">
            <w:pPr>
              <w:pStyle w:val="a5"/>
              <w:ind w:left="-74" w:firstLine="74"/>
              <w:jc w:val="both"/>
              <w:rPr>
                <w:rFonts w:eastAsiaTheme="minorHAnsi"/>
                <w:b/>
                <w:lang w:eastAsia="en-US"/>
              </w:rPr>
            </w:pPr>
            <w:r w:rsidRPr="00E26CB4">
              <w:rPr>
                <w:rFonts w:eastAsiaTheme="minorHAnsi"/>
                <w:b/>
                <w:lang w:eastAsia="en-US"/>
              </w:rPr>
              <w:t>В 2019</w:t>
            </w:r>
            <w:r w:rsidRPr="001F7DDF">
              <w:rPr>
                <w:rFonts w:eastAsiaTheme="minorHAnsi"/>
                <w:lang w:eastAsia="en-US"/>
              </w:rPr>
              <w:t xml:space="preserve"> году</w:t>
            </w:r>
            <w:r w:rsidRPr="001F7DDF">
              <w:rPr>
                <w:rFonts w:eastAsiaTheme="minorHAnsi"/>
                <w:b/>
                <w:lang w:eastAsia="en-US"/>
              </w:rPr>
              <w:t xml:space="preserve"> </w:t>
            </w:r>
            <w:r w:rsidRPr="001F7DDF">
              <w:rPr>
                <w:rFonts w:eastAsiaTheme="minorHAnsi"/>
                <w:lang w:eastAsia="en-US"/>
              </w:rPr>
              <w:t>деятельность по перевозке пассажиров автомобильным транспортом по муниципальным маршрутам регулярных перевозок осуществляют 2 перевозчика</w:t>
            </w:r>
            <w:r w:rsidRPr="001F7DDF">
              <w:rPr>
                <w:rFonts w:eastAsiaTheme="minorHAnsi"/>
                <w:b/>
                <w:lang w:eastAsia="en-US"/>
              </w:rPr>
              <w:t xml:space="preserve"> </w:t>
            </w:r>
            <w:r w:rsidRPr="001F7DDF">
              <w:rPr>
                <w:rFonts w:eastAsiaTheme="minorHAnsi"/>
                <w:lang w:eastAsia="en-US"/>
              </w:rPr>
              <w:t xml:space="preserve">(г. Кингисепп и 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район- частный, г. Ивангород – муниципальный)</w:t>
            </w:r>
            <w:r w:rsidR="00DF4257">
              <w:rPr>
                <w:sz w:val="28"/>
                <w:szCs w:val="28"/>
              </w:rPr>
              <w:t xml:space="preserve"> </w:t>
            </w:r>
            <w:r w:rsidR="00DF4257" w:rsidRPr="00AB4B2E">
              <w:t>Значение целевых показателей достигнуты .</w:t>
            </w:r>
          </w:p>
        </w:tc>
      </w:tr>
      <w:tr w:rsidR="001F7DDF" w:rsidRPr="001F7DDF" w:rsidTr="002D3F64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417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87,0</w:t>
            </w:r>
          </w:p>
        </w:tc>
        <w:tc>
          <w:tcPr>
            <w:tcW w:w="851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87,0</w:t>
            </w:r>
          </w:p>
        </w:tc>
        <w:tc>
          <w:tcPr>
            <w:tcW w:w="802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727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92,0</w:t>
            </w:r>
          </w:p>
        </w:tc>
        <w:tc>
          <w:tcPr>
            <w:tcW w:w="702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92,0</w:t>
            </w:r>
          </w:p>
        </w:tc>
        <w:tc>
          <w:tcPr>
            <w:tcW w:w="13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Проц.</w:t>
            </w:r>
          </w:p>
        </w:tc>
        <w:tc>
          <w:tcPr>
            <w:tcW w:w="2166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жилищно-коммунального хозяйства, транспорта и экологии</w:t>
            </w:r>
          </w:p>
        </w:tc>
        <w:tc>
          <w:tcPr>
            <w:tcW w:w="2551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Проведение конкурсных процедур на право заключения муниципальных контрактов и (или) выдачу свидетельств в порядке, установленном Федеральным законом от 13.07.2015 N 220-ФЗ "Об организации регулярных перевозок пассажиров и багажа </w:t>
            </w:r>
            <w:r w:rsidRPr="001F7DDF">
              <w:rPr>
                <w:rFonts w:eastAsiaTheme="minorHAnsi"/>
                <w:lang w:eastAsia="en-US"/>
              </w:rPr>
              <w:lastRenderedPageBreak/>
      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В соответствии с ч.2 ст.14 220-ФЗ осуществление регулярных перевозок по регулируемым тарифам обеспечивается посредством заключения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      </w:r>
            <w:r w:rsidRPr="001F7DDF">
              <w:rPr>
                <w:rFonts w:eastAsiaTheme="minorHAnsi"/>
                <w:lang w:eastAsia="en-US"/>
              </w:rPr>
              <w:lastRenderedPageBreak/>
              <w:t>с учетом положений 220-ФЗ.</w:t>
            </w:r>
          </w:p>
        </w:tc>
      </w:tr>
      <w:tr w:rsidR="001F7DDF" w:rsidRPr="001F7DDF" w:rsidTr="002D3F64">
        <w:tc>
          <w:tcPr>
            <w:tcW w:w="15197" w:type="dxa"/>
            <w:gridSpan w:val="15"/>
          </w:tcPr>
          <w:p w:rsidR="002D3F64" w:rsidRDefault="002D3F64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>6. Рынок жилищного строительства</w:t>
            </w:r>
          </w:p>
        </w:tc>
      </w:tr>
      <w:tr w:rsidR="001F7DDF" w:rsidRPr="001F7DDF" w:rsidTr="002D3F64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1417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851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8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27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7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3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Проц.</w:t>
            </w:r>
          </w:p>
        </w:tc>
        <w:tc>
          <w:tcPr>
            <w:tcW w:w="2166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Комитет по строительству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Мониторинг строительных организаций,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</w:tr>
      <w:tr w:rsidR="001F7DDF" w:rsidRPr="001F7DDF" w:rsidTr="002D3F64">
        <w:tc>
          <w:tcPr>
            <w:tcW w:w="15197" w:type="dxa"/>
            <w:gridSpan w:val="15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>7. Рынок добычи общераспространенных полезных ископаемых на участках недр местного значения</w:t>
            </w:r>
          </w:p>
          <w:p w:rsidR="001F7DDF" w:rsidRPr="001F7DDF" w:rsidRDefault="001F7DDF" w:rsidP="001F7DDF">
            <w:pPr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В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муниципальный район» в сфере  добычи общераспространенных полезных ископаемых на участках недр местного значения действует 100%  частных предприятий   </w:t>
            </w:r>
          </w:p>
        </w:tc>
      </w:tr>
      <w:tr w:rsidR="001F7DDF" w:rsidRPr="001F7DDF" w:rsidTr="002D3F64">
        <w:trPr>
          <w:trHeight w:val="2832"/>
        </w:trPr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417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Проц.</w:t>
            </w:r>
          </w:p>
        </w:tc>
        <w:tc>
          <w:tcPr>
            <w:tcW w:w="216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экономического развития и инвестиционной политики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Содействие в организации взаимодействия с предприятиями, разрабатывающими месторождения, для использования их продукции в муниципальных нуждах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(по мере необходимости)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1F7DDF" w:rsidRPr="001F7DDF" w:rsidTr="002D3F64">
        <w:tc>
          <w:tcPr>
            <w:tcW w:w="15197" w:type="dxa"/>
            <w:gridSpan w:val="15"/>
          </w:tcPr>
          <w:p w:rsidR="002D3F64" w:rsidRDefault="002D3F64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 xml:space="preserve">8. Рынок обработки древесины и производства изделий из дерева </w:t>
            </w:r>
          </w:p>
        </w:tc>
      </w:tr>
      <w:tr w:rsidR="001F7DDF" w:rsidRPr="001F7DDF" w:rsidTr="002D3F64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2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2166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экономического развития и инвестиционной политики</w:t>
            </w:r>
          </w:p>
        </w:tc>
        <w:tc>
          <w:tcPr>
            <w:tcW w:w="2551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Оказание содействия в организации рабочих групп по взаимодействию с предприятиями, обрабатывающими древесину и производящими из нее изделия, и лесозаготовительными предприятиями, в целях бесперебойной поставки древесины на деревообрабатывающие предприятия (по мере необходимости)</w:t>
            </w:r>
          </w:p>
        </w:tc>
      </w:tr>
      <w:tr w:rsidR="001F7DDF" w:rsidRPr="001F7DDF" w:rsidTr="002D3F64">
        <w:tc>
          <w:tcPr>
            <w:tcW w:w="15197" w:type="dxa"/>
            <w:gridSpan w:val="15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b/>
                <w:lang w:eastAsia="en-US"/>
              </w:rPr>
              <w:t>9. Рынок производства бетона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В рамках реализации мероприятий дорожной карты предполагается уточнение участников рынка и оказание содействия по развитию конкуренции.</w:t>
            </w:r>
          </w:p>
        </w:tc>
      </w:tr>
      <w:tr w:rsidR="001F7DDF" w:rsidRPr="001F7DDF" w:rsidTr="002D3F64">
        <w:tc>
          <w:tcPr>
            <w:tcW w:w="4679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 xml:space="preserve">Доля организаций частной формы собственности в сфере производства бетона </w:t>
            </w:r>
          </w:p>
        </w:tc>
        <w:tc>
          <w:tcPr>
            <w:tcW w:w="1417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02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2" w:type="dxa"/>
            <w:gridSpan w:val="2"/>
          </w:tcPr>
          <w:p w:rsidR="001F7DDF" w:rsidRPr="001F7DDF" w:rsidRDefault="001F7DDF" w:rsidP="001F7DD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02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Проц.</w:t>
            </w:r>
          </w:p>
        </w:tc>
        <w:tc>
          <w:tcPr>
            <w:tcW w:w="2166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по строительству,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экономического развития и инвестиционной политики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Оказание содействия по включению предприятий в ФГИС ЦС и ГИС «Промышленность». Другие мероприятия по содействию развитию конкуренции и производственной деятельности</w:t>
            </w:r>
          </w:p>
        </w:tc>
      </w:tr>
    </w:tbl>
    <w:p w:rsidR="001F7DDF" w:rsidRPr="001F7DDF" w:rsidRDefault="001F7DDF" w:rsidP="001F7DD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1F7DDF" w:rsidRPr="001F7DDF" w:rsidRDefault="001F7DDF" w:rsidP="001F7DD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F7DDF">
        <w:rPr>
          <w:rFonts w:eastAsiaTheme="minorHAnsi"/>
          <w:b/>
          <w:sz w:val="28"/>
          <w:szCs w:val="28"/>
          <w:lang w:val="en-US" w:eastAsia="en-US"/>
        </w:rPr>
        <w:t>II</w:t>
      </w:r>
      <w:r w:rsidRPr="001F7DDF">
        <w:rPr>
          <w:rFonts w:eastAsiaTheme="minorHAnsi"/>
          <w:b/>
          <w:sz w:val="28"/>
          <w:szCs w:val="28"/>
          <w:lang w:eastAsia="en-US"/>
        </w:rPr>
        <w:t xml:space="preserve">. Системные мероприятия, направленные на развитие конкуренции </w:t>
      </w:r>
      <w:proofErr w:type="gramStart"/>
      <w:r w:rsidRPr="001F7DDF">
        <w:rPr>
          <w:rFonts w:eastAsiaTheme="minorHAnsi"/>
          <w:b/>
          <w:sz w:val="28"/>
          <w:szCs w:val="28"/>
          <w:lang w:eastAsia="en-US"/>
        </w:rPr>
        <w:t>в  МО</w:t>
      </w:r>
      <w:proofErr w:type="gramEnd"/>
      <w:r w:rsidRPr="001F7DDF">
        <w:rPr>
          <w:rFonts w:eastAsiaTheme="minorHAnsi"/>
          <w:b/>
          <w:sz w:val="28"/>
          <w:szCs w:val="28"/>
          <w:lang w:eastAsia="en-US"/>
        </w:rPr>
        <w:t xml:space="preserve"> «</w:t>
      </w:r>
      <w:proofErr w:type="spellStart"/>
      <w:r w:rsidRPr="001F7DDF">
        <w:rPr>
          <w:rFonts w:eastAsiaTheme="minorHAnsi"/>
          <w:b/>
          <w:sz w:val="28"/>
          <w:szCs w:val="28"/>
          <w:lang w:eastAsia="en-US"/>
        </w:rPr>
        <w:t>Кингисеппский</w:t>
      </w:r>
      <w:proofErr w:type="spellEnd"/>
      <w:r w:rsidRPr="001F7DDF">
        <w:rPr>
          <w:rFonts w:eastAsiaTheme="minorHAnsi"/>
          <w:b/>
          <w:sz w:val="28"/>
          <w:szCs w:val="28"/>
          <w:lang w:eastAsia="en-US"/>
        </w:rPr>
        <w:t xml:space="preserve"> муниципальный район» Ленинградской области</w:t>
      </w:r>
    </w:p>
    <w:p w:rsidR="001F7DDF" w:rsidRPr="001F7DDF" w:rsidRDefault="001F7DDF" w:rsidP="001F7DD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1F7DDF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6"/>
        <w:tblW w:w="15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2703"/>
        <w:gridCol w:w="2133"/>
        <w:gridCol w:w="3271"/>
        <w:gridCol w:w="1138"/>
        <w:gridCol w:w="996"/>
        <w:gridCol w:w="1138"/>
        <w:gridCol w:w="1138"/>
        <w:gridCol w:w="2417"/>
      </w:tblGrid>
      <w:tr w:rsidR="001F7DDF" w:rsidRPr="001F7DDF" w:rsidTr="009B4690">
        <w:tc>
          <w:tcPr>
            <w:tcW w:w="856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703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Мероприятия, направленные на развитие конкуренции</w:t>
            </w:r>
          </w:p>
        </w:tc>
        <w:tc>
          <w:tcPr>
            <w:tcW w:w="2133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Целевые индикаторы, Единица измерения</w:t>
            </w:r>
          </w:p>
        </w:tc>
        <w:tc>
          <w:tcPr>
            <w:tcW w:w="3271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Текущая ситуация (описание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проблемы), фактическое значение</w:t>
            </w:r>
          </w:p>
        </w:tc>
        <w:tc>
          <w:tcPr>
            <w:tcW w:w="4410" w:type="dxa"/>
            <w:gridSpan w:val="4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Значение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ключевого показателя</w:t>
            </w:r>
          </w:p>
        </w:tc>
        <w:tc>
          <w:tcPr>
            <w:tcW w:w="2417" w:type="dxa"/>
            <w:vMerge w:val="restart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Ответственный орган исполнительной власти Ленинградской области</w:t>
            </w:r>
          </w:p>
        </w:tc>
      </w:tr>
      <w:tr w:rsidR="001F7DDF" w:rsidRPr="001F7DDF" w:rsidTr="009B4690">
        <w:tc>
          <w:tcPr>
            <w:tcW w:w="856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03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33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71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6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138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138" w:type="dxa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417" w:type="dxa"/>
            <w:vMerge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7DDF" w:rsidRPr="001F7DDF" w:rsidTr="009B4690">
        <w:trPr>
          <w:trHeight w:val="983"/>
        </w:trPr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1.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  <w:r w:rsidRPr="001F7DDF">
              <w:rPr>
                <w:rFonts w:eastAsiaTheme="minorHAnsi"/>
                <w:highlight w:val="yellow"/>
                <w:lang w:eastAsia="en-US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Прирост объема закупок у субъектов малого предпринимательства;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Доля закупок товаров, работ, услуг, которые муниципальные заказчики осуществили у </w:t>
            </w:r>
            <w:r w:rsidRPr="001F7DDF">
              <w:rPr>
                <w:rFonts w:eastAsiaTheme="minorHAnsi"/>
                <w:lang w:eastAsia="en-US"/>
              </w:rPr>
              <w:lastRenderedPageBreak/>
              <w:t>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3271" w:type="dxa"/>
            <w:shd w:val="clear" w:color="auto" w:fill="auto"/>
          </w:tcPr>
          <w:p w:rsidR="001F7DDF" w:rsidRPr="001F7DDF" w:rsidRDefault="00406DE4" w:rsidP="001F7D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Фактическое значение за 2019 год – 57,94%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="Calibri"/>
                <w:lang w:eastAsia="en-US"/>
              </w:rPr>
            </w:pPr>
            <w:r w:rsidRPr="001F7DD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="Calibri"/>
                <w:lang w:eastAsia="en-US"/>
              </w:rPr>
            </w:pPr>
            <w:r w:rsidRPr="001F7DD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="Calibri"/>
                <w:lang w:eastAsia="en-US"/>
              </w:rPr>
            </w:pPr>
            <w:r w:rsidRPr="001F7DD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="Calibri"/>
                <w:lang w:eastAsia="en-US"/>
              </w:rPr>
            </w:pPr>
            <w:r w:rsidRPr="001F7DD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МКУ «Центр развития малого, среднего бизнеса и потребительского рынка»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Отдел муниципального заказа с участием муниципальных заказчиков, поселений район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7DDF" w:rsidRPr="001F7DDF" w:rsidTr="009B4690"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270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Содействие развитию негосударственных (немуниципальных) социально ориентированных некоммерческих организаций и «социального предпринимательства», </w:t>
            </w:r>
          </w:p>
        </w:tc>
        <w:tc>
          <w:tcPr>
            <w:tcW w:w="213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Количество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мероприятий, направленных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детей. дополнительное образование детей.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Мероприятия по развитию инфраструктуры поддержки </w:t>
            </w:r>
            <w:r w:rsidRPr="001F7DDF">
              <w:rPr>
                <w:rFonts w:eastAsiaTheme="minorHAnsi"/>
                <w:lang w:eastAsia="en-US"/>
              </w:rPr>
              <w:lastRenderedPageBreak/>
              <w:t>СОНКО и «социального предпринимательства»</w:t>
            </w:r>
          </w:p>
        </w:tc>
        <w:tc>
          <w:tcPr>
            <w:tcW w:w="3271" w:type="dxa"/>
            <w:shd w:val="clear" w:color="auto" w:fill="auto"/>
          </w:tcPr>
          <w:p w:rsidR="00406DE4" w:rsidRPr="00AB4B2E" w:rsidRDefault="00713F56" w:rsidP="00406DE4">
            <w:pPr>
              <w:jc w:val="both"/>
            </w:pPr>
            <w:r w:rsidRPr="00AB4B2E">
              <w:lastRenderedPageBreak/>
              <w:t xml:space="preserve">Фактическое значение-2 </w:t>
            </w:r>
            <w:proofErr w:type="gramStart"/>
            <w:r w:rsidR="00406DE4" w:rsidRPr="00AB4B2E">
              <w:t>1)Совместные</w:t>
            </w:r>
            <w:proofErr w:type="gramEnd"/>
            <w:r w:rsidR="00406DE4" w:rsidRPr="00AB4B2E">
              <w:t xml:space="preserve"> мероприятия с общественными организациями, осуществляющими деятельность в сфере патриотического воспитания и дополнительного образования детей (напр., посвящение в юнармейцы обучающихся </w:t>
            </w:r>
            <w:proofErr w:type="spellStart"/>
            <w:r w:rsidR="00406DE4" w:rsidRPr="00AB4B2E">
              <w:t>Котельской</w:t>
            </w:r>
            <w:proofErr w:type="spellEnd"/>
            <w:r w:rsidR="00406DE4" w:rsidRPr="00AB4B2E">
              <w:t xml:space="preserve"> СОШ с участием ДОСААФ).</w:t>
            </w:r>
          </w:p>
          <w:p w:rsidR="00406DE4" w:rsidRPr="00AB4B2E" w:rsidRDefault="00406DE4" w:rsidP="00406DE4">
            <w:pPr>
              <w:jc w:val="both"/>
            </w:pPr>
            <w:r w:rsidRPr="00AB4B2E">
              <w:t>2)Работа палаточного лагеря «Полевая археологическая школа» на территории муниципального загородного лагеря «Бригантина» совместно с Ленинградским областным отделением Всероссийской общественной организации «Русское географическое общество».</w:t>
            </w:r>
          </w:p>
          <w:p w:rsidR="001F7DDF" w:rsidRPr="001F7DDF" w:rsidRDefault="001F7DDF" w:rsidP="001F7D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713F56" w:rsidP="001F7DDF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="Calibri"/>
                <w:lang w:eastAsia="en-US"/>
              </w:rPr>
            </w:pPr>
            <w:r w:rsidRPr="001F7D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="Calibri"/>
                <w:lang w:eastAsia="en-US"/>
              </w:rPr>
            </w:pPr>
            <w:r w:rsidRPr="001F7D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="Calibri"/>
                <w:lang w:eastAsia="en-US"/>
              </w:rPr>
            </w:pPr>
            <w:r w:rsidRPr="001F7D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по местному самоуправлению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и связям с общественностью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экономического развития и инвестиционной политики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МКУ «Центр развития малого, среднего бизнеса и потребительского рынка»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по образованию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7DDF" w:rsidRPr="001F7DDF" w:rsidTr="009B4690"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 xml:space="preserve">3. </w:t>
            </w:r>
          </w:p>
        </w:tc>
        <w:tc>
          <w:tcPr>
            <w:tcW w:w="14934" w:type="dxa"/>
            <w:gridSpan w:val="8"/>
            <w:shd w:val="clear" w:color="auto" w:fill="auto"/>
            <w:vAlign w:val="center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F7DDF" w:rsidRPr="001F7DDF" w:rsidTr="009B4690"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270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Снижение количества случаев осуществления закупки у единственного поставщика</w:t>
            </w:r>
          </w:p>
        </w:tc>
        <w:tc>
          <w:tcPr>
            <w:tcW w:w="213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Количество конкурентных закупок, по результатам которых заключен контракт с единственным поставщиком (подрядчиком, исполнителем); % от общего количества проведенных конкурентных закупок.</w:t>
            </w:r>
          </w:p>
        </w:tc>
        <w:tc>
          <w:tcPr>
            <w:tcW w:w="3271" w:type="dxa"/>
            <w:shd w:val="clear" w:color="auto" w:fill="auto"/>
          </w:tcPr>
          <w:p w:rsidR="001F7DDF" w:rsidRPr="001F7DDF" w:rsidRDefault="001F7DDF" w:rsidP="00406DE4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4</w:t>
            </w:r>
            <w:r w:rsidR="00406DE4">
              <w:rPr>
                <w:rFonts w:eastAsiaTheme="minorHAnsi"/>
                <w:lang w:eastAsia="en-US"/>
              </w:rPr>
              <w:t>4</w:t>
            </w:r>
            <w:r w:rsidRPr="001F7DDF">
              <w:rPr>
                <w:rFonts w:eastAsiaTheme="minorHAnsi"/>
                <w:lang w:eastAsia="en-US"/>
              </w:rPr>
              <w:t>,</w:t>
            </w:r>
            <w:r w:rsidR="00406DE4">
              <w:rPr>
                <w:rFonts w:eastAsiaTheme="minorHAnsi"/>
                <w:lang w:eastAsia="en-US"/>
              </w:rPr>
              <w:t>78</w:t>
            </w:r>
            <w:r w:rsidRPr="001F7DDF">
              <w:rPr>
                <w:rFonts w:eastAsiaTheme="minorHAnsi"/>
                <w:lang w:eastAsia="en-US"/>
              </w:rPr>
              <w:t>% от общего количества проведенных конкурентных закупок за 2018 год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both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46</w:t>
            </w: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both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44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both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both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38</w:t>
            </w: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Отдел муниципального заказа совместно с муниципальными заказчиками, поселениями района</w:t>
            </w:r>
          </w:p>
        </w:tc>
      </w:tr>
      <w:tr w:rsidR="001F7DDF" w:rsidRPr="001F7DDF" w:rsidTr="009B4690"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4934" w:type="dxa"/>
            <w:gridSpan w:val="8"/>
            <w:shd w:val="clear" w:color="auto" w:fill="auto"/>
            <w:vAlign w:val="center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1F7DDF" w:rsidRPr="001F7DDF" w:rsidTr="009B4690"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270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</w:t>
            </w:r>
          </w:p>
        </w:tc>
        <w:tc>
          <w:tcPr>
            <w:tcW w:w="213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71" w:type="dxa"/>
            <w:shd w:val="clear" w:color="auto" w:fill="auto"/>
          </w:tcPr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В результате оптимизации процессов предоставления услуг для субъектов предпринимательской деятельности н</w:t>
            </w:r>
            <w:r w:rsidRPr="00452178">
              <w:rPr>
                <w:shd w:val="clear" w:color="auto" w:fill="FFFFFF"/>
                <w:lang w:eastAsia="ar-SA"/>
              </w:rPr>
              <w:t>а территории МО «</w:t>
            </w:r>
            <w:proofErr w:type="spellStart"/>
            <w:r w:rsidRPr="00452178">
              <w:rPr>
                <w:shd w:val="clear" w:color="auto" w:fill="FFFFFF"/>
                <w:lang w:eastAsia="ar-SA"/>
              </w:rPr>
              <w:t>Кингисеппский</w:t>
            </w:r>
            <w:proofErr w:type="spellEnd"/>
            <w:r w:rsidRPr="00452178">
              <w:rPr>
                <w:shd w:val="clear" w:color="auto" w:fill="FFFFFF"/>
                <w:lang w:eastAsia="ar-SA"/>
              </w:rPr>
              <w:t xml:space="preserve"> муниципальный район» в 2019 году действовали 2854 субъекта малого и среднего предпринимательства. </w:t>
            </w:r>
            <w:r w:rsidRPr="00452178">
              <w:rPr>
                <w:shd w:val="clear" w:color="auto" w:fill="FFFFFF"/>
                <w:lang w:eastAsia="ar-SA"/>
              </w:rPr>
              <w:lastRenderedPageBreak/>
              <w:t xml:space="preserve">Данный показатель выполнен на 101%. Число субъектов малого и среднего предпринимательства предприятий на 10 000 человек населения составляет </w:t>
            </w:r>
            <w:r w:rsidRPr="00452178">
              <w:rPr>
                <w:lang w:eastAsia="ar-SA"/>
              </w:rPr>
              <w:t xml:space="preserve">374 </w:t>
            </w:r>
            <w:r w:rsidRPr="00452178">
              <w:rPr>
                <w:shd w:val="clear" w:color="auto" w:fill="FFFFFF"/>
                <w:lang w:eastAsia="ar-SA"/>
              </w:rPr>
              <w:t xml:space="preserve">единицы. Прирост данного </w:t>
            </w:r>
            <w:proofErr w:type="gramStart"/>
            <w:r w:rsidRPr="00452178">
              <w:rPr>
                <w:shd w:val="clear" w:color="auto" w:fill="FFFFFF"/>
                <w:lang w:eastAsia="ar-SA"/>
              </w:rPr>
              <w:t>показателя  по</w:t>
            </w:r>
            <w:proofErr w:type="gramEnd"/>
            <w:r w:rsidRPr="00452178">
              <w:rPr>
                <w:shd w:val="clear" w:color="auto" w:fill="FFFFFF"/>
                <w:lang w:eastAsia="ar-SA"/>
              </w:rPr>
              <w:t xml:space="preserve"> сравнению с 2018 годом составляет +5,6%, так как в 2018 году данный показатель составлял 354 единицы.</w:t>
            </w:r>
          </w:p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 w:rsidRPr="00452178">
              <w:rPr>
                <w:shd w:val="clear" w:color="auto" w:fill="FFFFFF"/>
                <w:lang w:eastAsia="ar-SA"/>
              </w:rPr>
              <w:t xml:space="preserve">Количество субъектов малого и среднего </w:t>
            </w:r>
            <w:proofErr w:type="gramStart"/>
            <w:r w:rsidRPr="00452178">
              <w:rPr>
                <w:shd w:val="clear" w:color="auto" w:fill="FFFFFF"/>
                <w:lang w:eastAsia="ar-SA"/>
              </w:rPr>
              <w:t>предпринимательства,  действующих</w:t>
            </w:r>
            <w:proofErr w:type="gramEnd"/>
            <w:r w:rsidRPr="00452178">
              <w:rPr>
                <w:shd w:val="clear" w:color="auto" w:fill="FFFFFF"/>
                <w:lang w:eastAsia="ar-SA"/>
              </w:rPr>
              <w:t xml:space="preserve"> менее одного года, на организацию предпринимательской деятельности, получивших поддержку за счет субсидии из бюджета МО «</w:t>
            </w:r>
            <w:proofErr w:type="spellStart"/>
            <w:r w:rsidRPr="00452178">
              <w:rPr>
                <w:shd w:val="clear" w:color="auto" w:fill="FFFFFF"/>
                <w:lang w:eastAsia="ar-SA"/>
              </w:rPr>
              <w:t>Кингисеппский</w:t>
            </w:r>
            <w:proofErr w:type="spellEnd"/>
            <w:r w:rsidRPr="00452178">
              <w:rPr>
                <w:shd w:val="clear" w:color="auto" w:fill="FFFFFF"/>
                <w:lang w:eastAsia="ar-SA"/>
              </w:rPr>
              <w:t xml:space="preserve"> муниципальный район» в 2019 году составило 3 человека от запланированных 2. Данный показатель выполнен на 150%.</w:t>
            </w:r>
          </w:p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 w:rsidRPr="00452178">
              <w:rPr>
                <w:shd w:val="clear" w:color="auto" w:fill="FFFFFF"/>
                <w:lang w:eastAsia="ar-SA"/>
              </w:rPr>
              <w:t xml:space="preserve">Количество вновь созданных рабочих мест, субъектами малого предпринимательства, получившими </w:t>
            </w:r>
            <w:proofErr w:type="gramStart"/>
            <w:r w:rsidRPr="00452178">
              <w:rPr>
                <w:shd w:val="clear" w:color="auto" w:fill="FFFFFF"/>
                <w:lang w:eastAsia="ar-SA"/>
              </w:rPr>
              <w:t>поддержку  за</w:t>
            </w:r>
            <w:proofErr w:type="gramEnd"/>
            <w:r w:rsidRPr="00452178">
              <w:rPr>
                <w:shd w:val="clear" w:color="auto" w:fill="FFFFFF"/>
                <w:lang w:eastAsia="ar-SA"/>
              </w:rPr>
              <w:t xml:space="preserve"> счет субсидии из бюджета </w:t>
            </w:r>
            <w:r w:rsidRPr="00452178">
              <w:rPr>
                <w:shd w:val="clear" w:color="auto" w:fill="FFFFFF"/>
                <w:lang w:eastAsia="ar-SA"/>
              </w:rPr>
              <w:lastRenderedPageBreak/>
              <w:t>МО «</w:t>
            </w:r>
            <w:proofErr w:type="spellStart"/>
            <w:r w:rsidRPr="00452178">
              <w:rPr>
                <w:shd w:val="clear" w:color="auto" w:fill="FFFFFF"/>
                <w:lang w:eastAsia="ar-SA"/>
              </w:rPr>
              <w:t>Кингисеппский</w:t>
            </w:r>
            <w:proofErr w:type="spellEnd"/>
            <w:r w:rsidRPr="00452178">
              <w:rPr>
                <w:shd w:val="clear" w:color="auto" w:fill="FFFFFF"/>
                <w:lang w:eastAsia="ar-SA"/>
              </w:rPr>
              <w:t xml:space="preserve"> муниципальный район» в 2019 году составило 6 единиц от запланированных 4. Данный показатель выполнен на 150%.</w:t>
            </w:r>
          </w:p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 w:rsidRPr="00452178">
              <w:rPr>
                <w:shd w:val="clear" w:color="auto" w:fill="FFFFFF"/>
                <w:lang w:eastAsia="ar-SA"/>
              </w:rPr>
              <w:t xml:space="preserve">Число </w:t>
            </w:r>
            <w:r w:rsidR="002D3F64">
              <w:rPr>
                <w:shd w:val="clear" w:color="auto" w:fill="FFFFFF"/>
                <w:lang w:eastAsia="ar-SA"/>
              </w:rPr>
              <w:t>п</w:t>
            </w:r>
            <w:r w:rsidRPr="00452178">
              <w:rPr>
                <w:shd w:val="clear" w:color="auto" w:fill="FFFFFF"/>
                <w:lang w:eastAsia="ar-SA"/>
              </w:rPr>
              <w:t xml:space="preserve">редпринимателей, принявших участие в региональной и муниципальной </w:t>
            </w:r>
            <w:proofErr w:type="gramStart"/>
            <w:r w:rsidRPr="00452178">
              <w:rPr>
                <w:shd w:val="clear" w:color="auto" w:fill="FFFFFF"/>
                <w:lang w:eastAsia="ar-SA"/>
              </w:rPr>
              <w:t>программах  в</w:t>
            </w:r>
            <w:proofErr w:type="gramEnd"/>
            <w:r w:rsidRPr="00452178">
              <w:rPr>
                <w:shd w:val="clear" w:color="auto" w:fill="FFFFFF"/>
                <w:lang w:eastAsia="ar-SA"/>
              </w:rPr>
              <w:t xml:space="preserve"> 2019 году составило 28 человек. В сравнении с 2018 годом прирост составил 75%. т.к. в 2018 году их число составляло 16 чел.</w:t>
            </w:r>
          </w:p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 w:rsidRPr="00452178">
              <w:rPr>
                <w:shd w:val="clear" w:color="auto" w:fill="FFFFFF"/>
                <w:lang w:eastAsia="ar-SA"/>
              </w:rPr>
              <w:t>Количество потенциальных предпринимателей, прошедших обучение по курсу «Введение в предпринимательство составляет 30 человек. Данный показатель выполнен на 100%.</w:t>
            </w:r>
          </w:p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 w:rsidRPr="00452178">
              <w:rPr>
                <w:shd w:val="clear" w:color="auto" w:fill="FFFFFF"/>
                <w:lang w:eastAsia="ar-SA"/>
              </w:rPr>
              <w:t>Количество физических лиц - участников регионального проекта "Популяризация предпринимательства" в 2019 году составило 353 чел. Показатель выполнен на 100,6%.</w:t>
            </w:r>
          </w:p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 w:rsidRPr="00452178">
              <w:rPr>
                <w:shd w:val="clear" w:color="auto" w:fill="FFFFFF"/>
                <w:lang w:eastAsia="ar-SA"/>
              </w:rPr>
              <w:lastRenderedPageBreak/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 –  +31%;</w:t>
            </w:r>
          </w:p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 w:rsidRPr="00452178">
              <w:rPr>
                <w:shd w:val="clear" w:color="auto" w:fill="FFFFFF"/>
                <w:lang w:eastAsia="ar-SA"/>
              </w:rPr>
              <w:t>- Количество обновлений в разделе имущественной поддержки на сайте муниципального образования – 11;</w:t>
            </w:r>
          </w:p>
          <w:p w:rsidR="00452178" w:rsidRPr="00452178" w:rsidRDefault="00452178" w:rsidP="00452178">
            <w:pPr>
              <w:jc w:val="both"/>
              <w:rPr>
                <w:color w:val="000000"/>
              </w:rPr>
            </w:pPr>
            <w:r w:rsidRPr="00452178">
              <w:rPr>
                <w:shd w:val="clear" w:color="auto" w:fill="FFFFFF"/>
                <w:lang w:eastAsia="ar-SA"/>
              </w:rPr>
              <w:tab/>
              <w:t xml:space="preserve">В 2019 году проведено 2 </w:t>
            </w:r>
            <w:r w:rsidRPr="00452178">
              <w:rPr>
                <w:color w:val="000000"/>
              </w:rPr>
              <w:t>тематических выставки - ярмарки народных художественных промыслов. Показатель выполнен на 100%.</w:t>
            </w:r>
          </w:p>
          <w:p w:rsidR="00452178" w:rsidRPr="00452178" w:rsidRDefault="00452178" w:rsidP="00452178">
            <w:pPr>
              <w:jc w:val="both"/>
            </w:pPr>
            <w:r w:rsidRPr="00452178">
              <w:tab/>
              <w:t xml:space="preserve">В 2019 году впервые проведен мастер-класс с мастерами </w:t>
            </w:r>
            <w:proofErr w:type="spellStart"/>
            <w:r w:rsidRPr="00452178">
              <w:t>Кингисеппского</w:t>
            </w:r>
            <w:proofErr w:type="spellEnd"/>
            <w:r w:rsidRPr="00452178">
              <w:t xml:space="preserve"> района в сфере народных художественных промыслов. Показатель выполнен на 100 %.</w:t>
            </w:r>
          </w:p>
          <w:p w:rsidR="00452178" w:rsidRPr="00452178" w:rsidRDefault="00452178" w:rsidP="00452178">
            <w:pPr>
              <w:suppressAutoHyphens/>
              <w:ind w:firstLine="567"/>
              <w:jc w:val="both"/>
              <w:rPr>
                <w:shd w:val="clear" w:color="auto" w:fill="FFFFFF"/>
                <w:lang w:eastAsia="ar-SA"/>
              </w:rPr>
            </w:pPr>
            <w:r w:rsidRPr="00452178">
              <w:rPr>
                <w:shd w:val="clear" w:color="auto" w:fill="FFFFFF"/>
                <w:lang w:eastAsia="ar-SA"/>
              </w:rPr>
              <w:t>Количество оказанных информационно-</w:t>
            </w:r>
            <w:r w:rsidRPr="00452178">
              <w:rPr>
                <w:shd w:val="clear" w:color="auto" w:fill="FFFFFF"/>
                <w:lang w:eastAsia="ar-SA"/>
              </w:rPr>
              <w:lastRenderedPageBreak/>
              <w:t>консультационных услуг – 1491 ед.</w:t>
            </w:r>
          </w:p>
          <w:p w:rsidR="001F7DDF" w:rsidRPr="001F7DDF" w:rsidRDefault="00452178" w:rsidP="00452178">
            <w:pPr>
              <w:jc w:val="both"/>
              <w:rPr>
                <w:rFonts w:eastAsiaTheme="minorHAnsi"/>
                <w:lang w:eastAsia="en-US"/>
              </w:rPr>
            </w:pPr>
            <w:r w:rsidRPr="00452178">
              <w:rPr>
                <w:color w:val="000000"/>
                <w:lang w:eastAsia="ar-SA"/>
              </w:rPr>
              <w:tab/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Структурные подразделения Администрации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муниципальный район»,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принимающие участие в процессе предоставления муниципальных услуг для субъектов </w:t>
            </w:r>
            <w:r w:rsidRPr="001F7DDF">
              <w:rPr>
                <w:rFonts w:eastAsiaTheme="minorHAnsi"/>
                <w:lang w:eastAsia="en-US"/>
              </w:rPr>
              <w:lastRenderedPageBreak/>
              <w:t>предпринимательской деятельности</w:t>
            </w:r>
          </w:p>
        </w:tc>
      </w:tr>
      <w:tr w:rsidR="001F7DDF" w:rsidRPr="001F7DDF" w:rsidTr="009B4690"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4934" w:type="dxa"/>
            <w:gridSpan w:val="8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Совершенствование процессов управления в рамках полномочий органов местного самоуправления, закрепленных за ними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1F7DDF" w:rsidRPr="001F7DDF" w:rsidTr="009B4690">
        <w:trPr>
          <w:trHeight w:val="2832"/>
        </w:trPr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5.1.</w:t>
            </w:r>
          </w:p>
        </w:tc>
        <w:tc>
          <w:tcPr>
            <w:tcW w:w="270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Разработка,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Pr="001F7DDF">
              <w:rPr>
                <w:rFonts w:eastAsiaTheme="minorHAnsi"/>
                <w:lang w:eastAsia="en-US"/>
              </w:rPr>
              <w:tab/>
              <w:t xml:space="preserve">муниципальным участием,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отраслях </w:t>
            </w:r>
            <w:r w:rsidRPr="001F7DDF">
              <w:rPr>
                <w:rFonts w:eastAsiaTheme="minorHAnsi"/>
                <w:lang w:eastAsia="en-US"/>
              </w:rPr>
              <w:lastRenderedPageBreak/>
              <w:t>экономики, программа (план) приватизации унитарных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  <w:tc>
          <w:tcPr>
            <w:tcW w:w="213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71" w:type="dxa"/>
            <w:shd w:val="clear" w:color="auto" w:fill="auto"/>
          </w:tcPr>
          <w:p w:rsidR="009216A5" w:rsidRPr="009216A5" w:rsidRDefault="009216A5" w:rsidP="009216A5">
            <w:pPr>
              <w:ind w:firstLine="540"/>
              <w:jc w:val="both"/>
              <w:rPr>
                <w:u w:val="single"/>
              </w:rPr>
            </w:pPr>
            <w:r w:rsidRPr="009216A5">
              <w:rPr>
                <w:u w:val="single"/>
              </w:rPr>
              <w:t>Структура муниципального имущества по состоянию на 01 января 2020 года:</w:t>
            </w:r>
          </w:p>
          <w:p w:rsidR="009216A5" w:rsidRPr="009216A5" w:rsidRDefault="009216A5" w:rsidP="009216A5">
            <w:pPr>
              <w:jc w:val="both"/>
              <w:rPr>
                <w:u w:val="single"/>
              </w:rPr>
            </w:pPr>
            <w:r w:rsidRPr="009216A5">
              <w:rPr>
                <w:u w:val="single"/>
              </w:rPr>
              <w:t>МО «</w:t>
            </w:r>
            <w:proofErr w:type="spellStart"/>
            <w:r w:rsidRPr="009216A5">
              <w:rPr>
                <w:u w:val="single"/>
              </w:rPr>
              <w:t>Кингисеппский</w:t>
            </w:r>
            <w:proofErr w:type="spellEnd"/>
            <w:r w:rsidRPr="009216A5">
              <w:rPr>
                <w:u w:val="single"/>
              </w:rPr>
              <w:t xml:space="preserve"> муниципальный район»:</w:t>
            </w:r>
          </w:p>
          <w:p w:rsidR="009216A5" w:rsidRPr="009216A5" w:rsidRDefault="009216A5" w:rsidP="009216A5">
            <w:pPr>
              <w:jc w:val="both"/>
              <w:rPr>
                <w:b/>
              </w:rPr>
            </w:pPr>
            <w:r w:rsidRPr="009216A5">
              <w:t xml:space="preserve">   </w:t>
            </w:r>
            <w:r w:rsidRPr="009216A5">
              <w:rPr>
                <w:b/>
              </w:rPr>
              <w:t xml:space="preserve">352 единиц – имущество казны в </w:t>
            </w:r>
            <w:proofErr w:type="spellStart"/>
            <w:r w:rsidRPr="009216A5">
              <w:rPr>
                <w:b/>
              </w:rPr>
              <w:t>т.ч</w:t>
            </w:r>
            <w:proofErr w:type="spellEnd"/>
            <w:r w:rsidRPr="009216A5">
              <w:rPr>
                <w:b/>
              </w:rPr>
              <w:t>.:</w:t>
            </w:r>
          </w:p>
          <w:p w:rsidR="009216A5" w:rsidRPr="009216A5" w:rsidRDefault="009216A5" w:rsidP="009216A5">
            <w:pPr>
              <w:numPr>
                <w:ilvl w:val="0"/>
                <w:numId w:val="4"/>
              </w:numPr>
              <w:jc w:val="both"/>
            </w:pPr>
            <w:r w:rsidRPr="009216A5">
              <w:t>226 объектов недвижимости (без учета земельных участков),</w:t>
            </w:r>
          </w:p>
          <w:p w:rsidR="009216A5" w:rsidRPr="009216A5" w:rsidRDefault="009216A5" w:rsidP="009216A5">
            <w:pPr>
              <w:numPr>
                <w:ilvl w:val="0"/>
                <w:numId w:val="4"/>
              </w:numPr>
              <w:jc w:val="both"/>
            </w:pPr>
            <w:r w:rsidRPr="009216A5">
              <w:t>15 – объектов движимого имущества</w:t>
            </w:r>
          </w:p>
          <w:p w:rsidR="009216A5" w:rsidRPr="009216A5" w:rsidRDefault="009216A5" w:rsidP="009216A5">
            <w:pPr>
              <w:numPr>
                <w:ilvl w:val="0"/>
                <w:numId w:val="4"/>
              </w:numPr>
              <w:jc w:val="both"/>
            </w:pPr>
            <w:r w:rsidRPr="009216A5">
              <w:t>111 земельных участков</w:t>
            </w:r>
          </w:p>
          <w:p w:rsidR="009216A5" w:rsidRPr="009216A5" w:rsidRDefault="009216A5" w:rsidP="009216A5">
            <w:pPr>
              <w:jc w:val="both"/>
              <w:rPr>
                <w:b/>
              </w:rPr>
            </w:pPr>
            <w:r w:rsidRPr="009216A5">
              <w:rPr>
                <w:b/>
              </w:rPr>
              <w:t xml:space="preserve">61 </w:t>
            </w:r>
            <w:r w:rsidRPr="009216A5">
              <w:t>муниципальных учреждений</w:t>
            </w:r>
          </w:p>
          <w:p w:rsidR="009216A5" w:rsidRPr="009216A5" w:rsidRDefault="009216A5" w:rsidP="009216A5">
            <w:pPr>
              <w:jc w:val="both"/>
              <w:rPr>
                <w:b/>
              </w:rPr>
            </w:pPr>
            <w:r w:rsidRPr="009216A5">
              <w:rPr>
                <w:b/>
              </w:rPr>
              <w:t xml:space="preserve">2 </w:t>
            </w:r>
            <w:r w:rsidRPr="009216A5">
              <w:t>хозяйственных общества с участием МО «</w:t>
            </w:r>
            <w:proofErr w:type="spellStart"/>
            <w:r w:rsidRPr="009216A5">
              <w:t>Кингисеппский</w:t>
            </w:r>
            <w:proofErr w:type="spellEnd"/>
            <w:r w:rsidRPr="009216A5">
              <w:t xml:space="preserve"> муниципальный район»</w:t>
            </w:r>
          </w:p>
          <w:p w:rsidR="009216A5" w:rsidRPr="009216A5" w:rsidRDefault="009216A5" w:rsidP="009216A5">
            <w:pPr>
              <w:jc w:val="both"/>
            </w:pPr>
            <w:r w:rsidRPr="009216A5">
              <w:rPr>
                <w:b/>
              </w:rPr>
              <w:t xml:space="preserve">6 </w:t>
            </w:r>
            <w:r w:rsidRPr="009216A5">
              <w:t>хозяйственных обществ, созданных вне процесса приватизации, в которых имеется доля МО «</w:t>
            </w:r>
            <w:proofErr w:type="spellStart"/>
            <w:r w:rsidRPr="009216A5">
              <w:t>Кингисеппский</w:t>
            </w:r>
            <w:proofErr w:type="spellEnd"/>
            <w:r w:rsidRPr="009216A5">
              <w:t xml:space="preserve"> муниципальный район»</w:t>
            </w:r>
          </w:p>
          <w:p w:rsidR="009216A5" w:rsidRPr="009216A5" w:rsidRDefault="009216A5" w:rsidP="009216A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16A5">
              <w:rPr>
                <w:rFonts w:ascii="Times New Roman" w:hAnsi="Times New Roman"/>
                <w:sz w:val="24"/>
                <w:szCs w:val="24"/>
                <w:u w:val="single"/>
              </w:rPr>
              <w:t>МО «</w:t>
            </w:r>
            <w:proofErr w:type="spellStart"/>
            <w:r w:rsidRPr="009216A5">
              <w:rPr>
                <w:rFonts w:ascii="Times New Roman" w:hAnsi="Times New Roman"/>
                <w:sz w:val="24"/>
                <w:szCs w:val="24"/>
                <w:u w:val="single"/>
              </w:rPr>
              <w:t>Кингисеппское</w:t>
            </w:r>
            <w:proofErr w:type="spellEnd"/>
            <w:r w:rsidRPr="00921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городское поселение»:</w:t>
            </w:r>
          </w:p>
          <w:p w:rsidR="009216A5" w:rsidRPr="009216A5" w:rsidRDefault="009216A5" w:rsidP="009216A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9216A5">
              <w:rPr>
                <w:rFonts w:ascii="Times New Roman" w:hAnsi="Times New Roman"/>
                <w:b/>
                <w:sz w:val="24"/>
                <w:szCs w:val="24"/>
              </w:rPr>
              <w:t xml:space="preserve">1464 -единиц имущество казны в </w:t>
            </w:r>
            <w:proofErr w:type="spellStart"/>
            <w:r w:rsidRPr="009216A5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9216A5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9216A5" w:rsidRPr="009216A5" w:rsidRDefault="009216A5" w:rsidP="009216A5">
            <w:pPr>
              <w:pStyle w:val="1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A5">
              <w:rPr>
                <w:rFonts w:ascii="Times New Roman" w:hAnsi="Times New Roman"/>
                <w:sz w:val="24"/>
                <w:szCs w:val="24"/>
              </w:rPr>
              <w:t>1242 - объектов недвижимости (без учета земельных участков),</w:t>
            </w:r>
          </w:p>
          <w:p w:rsidR="009216A5" w:rsidRPr="009216A5" w:rsidRDefault="009216A5" w:rsidP="009216A5">
            <w:pPr>
              <w:pStyle w:val="1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A5">
              <w:rPr>
                <w:rFonts w:ascii="Times New Roman" w:hAnsi="Times New Roman"/>
                <w:sz w:val="24"/>
                <w:szCs w:val="24"/>
              </w:rPr>
              <w:t>188 – объектов движимого имущества;</w:t>
            </w:r>
          </w:p>
          <w:p w:rsidR="009216A5" w:rsidRPr="009216A5" w:rsidRDefault="009216A5" w:rsidP="009216A5">
            <w:pPr>
              <w:pStyle w:val="1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216A5">
              <w:rPr>
                <w:rFonts w:ascii="Times New Roman" w:hAnsi="Times New Roman"/>
                <w:sz w:val="24"/>
                <w:szCs w:val="24"/>
              </w:rPr>
              <w:t>34  -</w:t>
            </w:r>
            <w:proofErr w:type="gramEnd"/>
            <w:r w:rsidRPr="009216A5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  <w:p w:rsidR="009216A5" w:rsidRPr="009216A5" w:rsidRDefault="009216A5" w:rsidP="009216A5">
            <w:pPr>
              <w:jc w:val="both"/>
            </w:pPr>
            <w:r w:rsidRPr="009216A5">
              <w:rPr>
                <w:b/>
              </w:rPr>
              <w:t>1</w:t>
            </w:r>
            <w:r w:rsidRPr="009216A5">
              <w:t xml:space="preserve"> – муниципальное предприятие;</w:t>
            </w:r>
          </w:p>
          <w:p w:rsidR="009216A5" w:rsidRPr="009216A5" w:rsidRDefault="009216A5" w:rsidP="009216A5">
            <w:pPr>
              <w:jc w:val="both"/>
            </w:pPr>
            <w:r w:rsidRPr="009216A5">
              <w:rPr>
                <w:b/>
              </w:rPr>
              <w:t>6</w:t>
            </w:r>
            <w:r w:rsidRPr="009216A5">
              <w:t xml:space="preserve"> - муниципальных учреждений;</w:t>
            </w:r>
          </w:p>
          <w:p w:rsidR="009216A5" w:rsidRPr="009216A5" w:rsidRDefault="009216A5" w:rsidP="009216A5">
            <w:pPr>
              <w:jc w:val="both"/>
            </w:pPr>
            <w:r w:rsidRPr="009216A5">
              <w:rPr>
                <w:b/>
              </w:rPr>
              <w:t>1</w:t>
            </w:r>
            <w:r w:rsidRPr="009216A5">
              <w:t xml:space="preserve"> - хозяйственное общество с участием МО «</w:t>
            </w:r>
            <w:proofErr w:type="spellStart"/>
            <w:r w:rsidRPr="009216A5">
              <w:t>Кингисеппское</w:t>
            </w:r>
            <w:proofErr w:type="spellEnd"/>
            <w:r w:rsidRPr="009216A5">
              <w:t xml:space="preserve"> городское поселение»</w:t>
            </w:r>
          </w:p>
          <w:p w:rsidR="009216A5" w:rsidRPr="009216A5" w:rsidRDefault="009216A5" w:rsidP="009216A5">
            <w:pPr>
              <w:jc w:val="both"/>
              <w:rPr>
                <w:b/>
              </w:rPr>
            </w:pPr>
          </w:p>
          <w:p w:rsidR="001F7DDF" w:rsidRPr="001F7DDF" w:rsidRDefault="001F7DDF" w:rsidP="001F7D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по управлению имуществом</w:t>
            </w:r>
          </w:p>
        </w:tc>
      </w:tr>
      <w:tr w:rsidR="001F7DDF" w:rsidRPr="001F7DDF" w:rsidTr="009B4690">
        <w:trPr>
          <w:trHeight w:val="1415"/>
        </w:trPr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5.3.</w:t>
            </w:r>
          </w:p>
        </w:tc>
        <w:tc>
          <w:tcPr>
            <w:tcW w:w="270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Организация</w:t>
            </w:r>
            <w:r w:rsidRPr="001F7DDF">
              <w:rPr>
                <w:rFonts w:eastAsiaTheme="minorHAnsi"/>
                <w:lang w:eastAsia="en-US"/>
              </w:rPr>
              <w:tab/>
              <w:t xml:space="preserve">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</w:t>
            </w:r>
            <w:r w:rsidRPr="001F7DDF">
              <w:rPr>
                <w:rFonts w:eastAsiaTheme="minorHAnsi"/>
                <w:lang w:eastAsia="en-US"/>
              </w:rPr>
              <w:lastRenderedPageBreak/>
              <w:t>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13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 xml:space="preserve">Соотношение количества единиц имущества, переданного во владение и (или) пользование по результатам конкурентных процедур в текущем периоде, к общему количеству </w:t>
            </w:r>
            <w:r w:rsidRPr="001F7DDF">
              <w:rPr>
                <w:rFonts w:eastAsiaTheme="minorHAnsi"/>
                <w:lang w:eastAsia="en-US"/>
              </w:rPr>
              <w:lastRenderedPageBreak/>
              <w:t xml:space="preserve">имущества, переданного во владение и (или) пользование в текущем периоде,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271" w:type="dxa"/>
            <w:shd w:val="clear" w:color="auto" w:fill="auto"/>
          </w:tcPr>
          <w:p w:rsidR="001F7DDF" w:rsidRPr="001F7DDF" w:rsidRDefault="00713F56" w:rsidP="001F7D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713F56" w:rsidP="001F7D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DDF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по управлению имуществом</w:t>
            </w:r>
          </w:p>
        </w:tc>
      </w:tr>
      <w:tr w:rsidR="001F7DDF" w:rsidRPr="001F7DDF" w:rsidTr="00713F56">
        <w:trPr>
          <w:trHeight w:val="5523"/>
        </w:trPr>
        <w:tc>
          <w:tcPr>
            <w:tcW w:w="856" w:type="dxa"/>
            <w:vMerge w:val="restart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5.4.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1F7DDF" w:rsidRPr="001F7DDF" w:rsidRDefault="001F7DDF" w:rsidP="00713F56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Обеспечение равных условий доступа к информации о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</w:t>
            </w:r>
            <w:r w:rsidRPr="001F7DDF">
              <w:rPr>
                <w:rFonts w:eastAsiaTheme="minorHAnsi"/>
                <w:lang w:eastAsia="en-US"/>
              </w:rPr>
              <w:lastRenderedPageBreak/>
              <w:t>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100 % информации размещено на официальном сайте Российской Федерации в сети «Интернет» для размещения информации о проведении торгов (www.torgi.gov.ru)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 xml:space="preserve">100 % информации размещено на официальном сайте </w:t>
            </w:r>
            <w:r w:rsidRPr="001F7DDF">
              <w:rPr>
                <w:rFonts w:eastAsiaTheme="minorHAnsi"/>
                <w:lang w:eastAsia="en-US"/>
              </w:rPr>
              <w:lastRenderedPageBreak/>
              <w:t>Администрации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муниципальный район» в сети «Интернет»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100 % информации о государственном имуществе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Кингисеппский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муниципальный район» и МО «</w:t>
            </w:r>
            <w:proofErr w:type="spellStart"/>
            <w:r w:rsidRPr="001F7DDF">
              <w:rPr>
                <w:rFonts w:eastAsiaTheme="minorHAnsi"/>
                <w:lang w:eastAsia="en-US"/>
              </w:rPr>
              <w:t>Кингисеппское</w:t>
            </w:r>
            <w:proofErr w:type="spellEnd"/>
            <w:r w:rsidRPr="001F7DDF">
              <w:rPr>
                <w:rFonts w:eastAsiaTheme="minorHAnsi"/>
                <w:lang w:eastAsia="en-US"/>
              </w:rPr>
              <w:t xml:space="preserve"> городское поселение</w:t>
            </w:r>
            <w:proofErr w:type="gramStart"/>
            <w:r w:rsidRPr="001F7DDF">
              <w:rPr>
                <w:rFonts w:eastAsiaTheme="minorHAnsi"/>
                <w:lang w:eastAsia="en-US"/>
              </w:rPr>
              <w:t>»,  в</w:t>
            </w:r>
            <w:proofErr w:type="gramEnd"/>
            <w:r w:rsidRPr="001F7DDF">
              <w:rPr>
                <w:rFonts w:eastAsiaTheme="minorHAnsi"/>
                <w:lang w:eastAsia="en-US"/>
              </w:rPr>
              <w:t xml:space="preserve">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собственности </w:t>
            </w:r>
          </w:p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муниципальной собственности размещены на официальных сайтах собственников имущества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100%</w:t>
            </w: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Комитет по управлению имуществом</w:t>
            </w:r>
          </w:p>
        </w:tc>
      </w:tr>
      <w:tr w:rsidR="001F7DDF" w:rsidRPr="001F7DDF" w:rsidTr="009B4690">
        <w:trPr>
          <w:trHeight w:val="5695"/>
        </w:trPr>
        <w:tc>
          <w:tcPr>
            <w:tcW w:w="856" w:type="dxa"/>
            <w:vMerge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13F56" w:rsidRPr="001F7DDF" w:rsidTr="009B4690"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/>
                <w:lang w:eastAsia="en-US"/>
              </w:rPr>
            </w:pPr>
            <w:r w:rsidRPr="001F7DDF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270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>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  <w:tc>
          <w:tcPr>
            <w:tcW w:w="213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>Число детей, охваченных деятельностью детских технопарков «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Кванториум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>» (мобильных технопарков «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Кванториум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») и других проектов, направленных на обеспечение доступности 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>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</w:tc>
        <w:tc>
          <w:tcPr>
            <w:tcW w:w="3271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 xml:space="preserve">В рамках реализации инновационной программы «Развитие научно-технического творчества детей в сфере дополнительного образования Ленинградской области» в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Кингисеппском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районе организована работа на базе МБУ ДО «ЦИТ» Центра одаренных детей, развивается направление научно-технического 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>творчества, начал работу Центр профориентации.</w:t>
            </w: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С 2017 </w:t>
            </w:r>
            <w:proofErr w:type="gramStart"/>
            <w:r w:rsidRPr="001F7DDF">
              <w:rPr>
                <w:rFonts w:eastAsiaTheme="minorHAnsi" w:cstheme="minorBidi"/>
                <w:lang w:eastAsia="en-US"/>
              </w:rPr>
              <w:t xml:space="preserve">года 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Кингисеппский</w:t>
            </w:r>
            <w:proofErr w:type="spellEnd"/>
            <w:proofErr w:type="gramEnd"/>
            <w:r w:rsidRPr="001F7DDF">
              <w:rPr>
                <w:rFonts w:eastAsiaTheme="minorHAnsi" w:cstheme="minorBidi"/>
                <w:lang w:eastAsia="en-US"/>
              </w:rPr>
              <w:t xml:space="preserve"> район принимает участие в движении 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ЮниорПрофи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(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JuniorSkills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>).</w:t>
            </w: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В 2019 в 3-й Региональном чемпионате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ЮниорПрофи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(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JuniorSkills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) приняли участие 2 команды в 2 компетенциях, одна из которых заняла </w:t>
            </w:r>
            <w:r w:rsidRPr="001F7DDF">
              <w:rPr>
                <w:rFonts w:eastAsiaTheme="minorHAnsi" w:cstheme="minorBidi"/>
                <w:lang w:val="en-US" w:eastAsia="en-US"/>
              </w:rPr>
              <w:t>III</w:t>
            </w:r>
            <w:r w:rsidRPr="001F7DDF">
              <w:rPr>
                <w:rFonts w:eastAsiaTheme="minorHAnsi" w:cstheme="minorBidi"/>
                <w:lang w:eastAsia="en-US"/>
              </w:rPr>
              <w:t xml:space="preserve"> место в компетенции «Мобильная робототехника». </w:t>
            </w: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С целью развития движения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JuniorSkills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в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Кингисеппском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районе прошли обучение педагоги по подготовке к соревнованиям, обучен тренер-судья по 2 компетенциям.</w:t>
            </w: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Воспитанники ЦИТ принимают участие в учебно-тренировочных сборах и отборочных соревнованиях.</w:t>
            </w: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A53550" w:rsidRPr="00A53550" w:rsidRDefault="001F7DDF" w:rsidP="00A53550">
            <w:pPr>
              <w:ind w:firstLine="708"/>
              <w:jc w:val="both"/>
            </w:pPr>
            <w:r w:rsidRPr="001F7DDF">
              <w:rPr>
                <w:rFonts w:eastAsiaTheme="minorHAnsi" w:cstheme="minorBidi"/>
                <w:lang w:eastAsia="en-US"/>
              </w:rPr>
              <w:t xml:space="preserve">Ежегодно учащиеся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Кингисеппского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района принимают участие в 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 xml:space="preserve">соревнованиях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ПроФест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,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РобоФинист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>, Кубок РТК, в олимпиадах по инженерной графике.</w:t>
            </w:r>
            <w:r w:rsidR="00A53550" w:rsidRPr="00A53550">
              <w:t xml:space="preserve"> </w:t>
            </w:r>
          </w:p>
          <w:p w:rsidR="00A53550" w:rsidRPr="00A53550" w:rsidRDefault="00A53550" w:rsidP="00A53550">
            <w:pPr>
              <w:ind w:firstLine="708"/>
              <w:jc w:val="both"/>
            </w:pPr>
            <w:r w:rsidRPr="00A53550">
              <w:t xml:space="preserve">В 2019 году на базе двух сельских школ - </w:t>
            </w:r>
            <w:proofErr w:type="spellStart"/>
            <w:r w:rsidRPr="00A53550">
              <w:t>Котельской</w:t>
            </w:r>
            <w:proofErr w:type="spellEnd"/>
            <w:r w:rsidRPr="00A53550">
              <w:t xml:space="preserve"> и </w:t>
            </w:r>
            <w:proofErr w:type="spellStart"/>
            <w:r w:rsidRPr="00A53550">
              <w:t>Кракольской</w:t>
            </w:r>
            <w:proofErr w:type="spellEnd"/>
            <w:r w:rsidRPr="00A53550">
              <w:t xml:space="preserve"> – созданы Центры образования цифрового и гуманитарного профилей «Точка роста». Для функционирования Центров в школах отремонтировано по два учебных кабинета, приобретены оборудование и мебель на общую сумму 4,9 млн. руб. из средств федерального, регионального и муниципального бюджетов.  Приобретены </w:t>
            </w:r>
            <w:proofErr w:type="spellStart"/>
            <w:r w:rsidRPr="00A53550">
              <w:t>квадракоптеры</w:t>
            </w:r>
            <w:proofErr w:type="spellEnd"/>
            <w:r w:rsidRPr="00A53550">
              <w:t>, 3-</w:t>
            </w:r>
            <w:r w:rsidRPr="00A53550">
              <w:rPr>
                <w:lang w:val="en-US"/>
              </w:rPr>
              <w:t>D</w:t>
            </w:r>
            <w:r w:rsidRPr="00A53550">
              <w:t xml:space="preserve"> принтеры, виртуальные шлемы, ноутбуки, мультимедийное оборудование, цифровые инструменты для уроков технологии, современные тренажеры для уроков ОБЖ и т.д. </w:t>
            </w:r>
          </w:p>
          <w:p w:rsidR="00A53550" w:rsidRPr="00A53550" w:rsidRDefault="00A53550" w:rsidP="00A53550">
            <w:pPr>
              <w:ind w:firstLine="708"/>
              <w:jc w:val="both"/>
            </w:pPr>
            <w:r w:rsidRPr="00A53550">
              <w:t xml:space="preserve">С помощью современного оборудования дети сельских школ изучают предметы технология, информатика, ОБЖ по новым программам, работают </w:t>
            </w:r>
            <w:r w:rsidRPr="00A53550">
              <w:lastRenderedPageBreak/>
              <w:t>шахматные кружки. В этом учебном году обучение проходят около 600 учащихся.</w:t>
            </w:r>
          </w:p>
          <w:p w:rsidR="00A53550" w:rsidRPr="00A53550" w:rsidRDefault="00A53550" w:rsidP="00A53550">
            <w:pPr>
              <w:tabs>
                <w:tab w:val="left" w:pos="1080"/>
              </w:tabs>
              <w:jc w:val="both"/>
            </w:pPr>
            <w:r w:rsidRPr="00A53550">
              <w:tab/>
              <w:t xml:space="preserve">В МБУДО «Центр информационных технологий» развивается научно-техническое творчество (робототехника, инженерное программирование). Команда Центра информационных </w:t>
            </w:r>
            <w:proofErr w:type="gramStart"/>
            <w:r w:rsidRPr="00A53550">
              <w:t>технологий  приняла</w:t>
            </w:r>
            <w:proofErr w:type="gramEnd"/>
            <w:r w:rsidRPr="00A53550">
              <w:t xml:space="preserve"> участие в региональном чемпионате «Юниор-Профи». По итогам соревнований, команда заняла 4 место в компетенции «Электроника». А двое учащихся (Гурченко Виктор и Миронов Владислав) стали победителями в номинациях.</w:t>
            </w:r>
          </w:p>
          <w:p w:rsidR="00A53550" w:rsidRPr="00A53550" w:rsidRDefault="00A53550" w:rsidP="00A53550">
            <w:pPr>
              <w:ind w:firstLine="708"/>
              <w:jc w:val="both"/>
            </w:pP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>435</w:t>
            </w: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600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550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600</w:t>
            </w: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Комитет по образованию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Кингисеппского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района</w:t>
            </w:r>
          </w:p>
        </w:tc>
      </w:tr>
      <w:tr w:rsidR="00713F56" w:rsidRPr="001F7DDF" w:rsidTr="009B4690">
        <w:tc>
          <w:tcPr>
            <w:tcW w:w="85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>7.</w:t>
            </w:r>
          </w:p>
        </w:tc>
        <w:tc>
          <w:tcPr>
            <w:tcW w:w="270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 xml:space="preserve">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F7DDF">
                <w:rPr>
                  <w:rFonts w:eastAsiaTheme="minorHAnsi" w:cstheme="minorBidi"/>
                  <w:lang w:eastAsia="en-US"/>
                </w:rPr>
                <w:t>2017 г</w:t>
              </w:r>
            </w:smartTag>
            <w:r w:rsidRPr="001F7DDF">
              <w:rPr>
                <w:rFonts w:eastAsiaTheme="minorHAnsi" w:cstheme="minorBidi"/>
                <w:lang w:eastAsia="en-US"/>
              </w:rPr>
              <w:t>. № 2039-р</w:t>
            </w:r>
          </w:p>
        </w:tc>
        <w:tc>
          <w:tcPr>
            <w:tcW w:w="2133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Доля общеобразовательных учреждений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Кингисеппского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района, принявших участие в онлайн-</w:t>
            </w:r>
            <w:proofErr w:type="gramStart"/>
            <w:r w:rsidRPr="001F7DDF">
              <w:rPr>
                <w:rFonts w:eastAsiaTheme="minorHAnsi" w:cstheme="minorBidi"/>
                <w:lang w:eastAsia="en-US"/>
              </w:rPr>
              <w:t xml:space="preserve">уроках  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>финансовой</w:t>
            </w:r>
            <w:proofErr w:type="gramEnd"/>
            <w:r w:rsidRPr="001F7DDF">
              <w:rPr>
                <w:rFonts w:eastAsiaTheme="minorHAnsi" w:cstheme="minorBidi"/>
                <w:lang w:eastAsia="en-US"/>
              </w:rPr>
              <w:t xml:space="preserve"> грамотности,</w:t>
            </w: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3271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 xml:space="preserve">Комитетом по образованию </w:t>
            </w:r>
            <w:proofErr w:type="gramStart"/>
            <w:r w:rsidRPr="001F7DDF">
              <w:rPr>
                <w:rFonts w:eastAsiaTheme="minorHAnsi" w:cstheme="minorBidi"/>
                <w:lang w:eastAsia="en-US"/>
              </w:rPr>
              <w:t>утвержден  Перечень</w:t>
            </w:r>
            <w:proofErr w:type="gramEnd"/>
            <w:r w:rsidRPr="001F7DDF">
              <w:rPr>
                <w:rFonts w:eastAsiaTheme="minorHAnsi" w:cstheme="minorBidi"/>
                <w:lang w:eastAsia="en-US"/>
              </w:rPr>
              <w:t xml:space="preserve"> мероприятий («Дорожная карта»). Сформирован перечень из 2 опорных дошкольных образовательных организаций и 5 опорных организаций общего образования (на базе 6 школ </w:t>
            </w:r>
            <w:r w:rsidRPr="001F7DDF">
              <w:rPr>
                <w:rFonts w:eastAsiaTheme="minorHAnsi" w:cstheme="minorBidi"/>
                <w:lang w:eastAsia="en-US"/>
              </w:rPr>
              <w:lastRenderedPageBreak/>
              <w:t>в рамках внеурочной деятельности реализуются образовательные модули, элективные курсы и т.п. по основам финансовой грамотности).</w:t>
            </w: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lastRenderedPageBreak/>
              <w:t>60</w:t>
            </w:r>
          </w:p>
        </w:tc>
        <w:tc>
          <w:tcPr>
            <w:tcW w:w="996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64    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70</w:t>
            </w:r>
          </w:p>
        </w:tc>
        <w:tc>
          <w:tcPr>
            <w:tcW w:w="1138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>76</w:t>
            </w:r>
          </w:p>
        </w:tc>
        <w:tc>
          <w:tcPr>
            <w:tcW w:w="2417" w:type="dxa"/>
            <w:shd w:val="clear" w:color="auto" w:fill="auto"/>
          </w:tcPr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F7DDF">
              <w:rPr>
                <w:rFonts w:eastAsiaTheme="minorHAnsi" w:cstheme="minorBidi"/>
                <w:lang w:eastAsia="en-US"/>
              </w:rPr>
              <w:t xml:space="preserve">Комитет по образованию </w:t>
            </w:r>
            <w:proofErr w:type="spellStart"/>
            <w:r w:rsidRPr="001F7DDF">
              <w:rPr>
                <w:rFonts w:eastAsiaTheme="minorHAnsi" w:cstheme="minorBidi"/>
                <w:lang w:eastAsia="en-US"/>
              </w:rPr>
              <w:t>Кингисеппского</w:t>
            </w:r>
            <w:proofErr w:type="spellEnd"/>
            <w:r w:rsidRPr="001F7DDF">
              <w:rPr>
                <w:rFonts w:eastAsiaTheme="minorHAnsi" w:cstheme="minorBidi"/>
                <w:lang w:eastAsia="en-US"/>
              </w:rPr>
              <w:t xml:space="preserve"> района</w:t>
            </w:r>
          </w:p>
          <w:p w:rsidR="001F7DDF" w:rsidRPr="001F7DDF" w:rsidRDefault="001F7DDF" w:rsidP="001F7DDF">
            <w:pPr>
              <w:jc w:val="center"/>
              <w:rPr>
                <w:rFonts w:eastAsiaTheme="minorHAnsi" w:cstheme="minorBidi"/>
                <w:i/>
                <w:highlight w:val="green"/>
                <w:lang w:eastAsia="en-US"/>
              </w:rPr>
            </w:pPr>
          </w:p>
        </w:tc>
      </w:tr>
    </w:tbl>
    <w:p w:rsidR="001F7DDF" w:rsidRPr="00713F56" w:rsidRDefault="001F7DDF" w:rsidP="001F7DDF">
      <w:pPr>
        <w:rPr>
          <w:sz w:val="28"/>
          <w:szCs w:val="28"/>
        </w:rPr>
      </w:pPr>
    </w:p>
    <w:sectPr w:rsidR="001F7DDF" w:rsidRPr="00713F56" w:rsidSect="001F7D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03A"/>
    <w:multiLevelType w:val="hybridMultilevel"/>
    <w:tmpl w:val="6CB4AFBE"/>
    <w:lvl w:ilvl="0" w:tplc="23527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D92533"/>
    <w:multiLevelType w:val="hybridMultilevel"/>
    <w:tmpl w:val="28B0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0D2D"/>
    <w:multiLevelType w:val="hybridMultilevel"/>
    <w:tmpl w:val="0764E5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D5C7F8B"/>
    <w:multiLevelType w:val="hybridMultilevel"/>
    <w:tmpl w:val="793EBF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E944D9"/>
    <w:multiLevelType w:val="hybridMultilevel"/>
    <w:tmpl w:val="8E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2"/>
    <w:rsid w:val="00016059"/>
    <w:rsid w:val="00065323"/>
    <w:rsid w:val="00076781"/>
    <w:rsid w:val="00137F68"/>
    <w:rsid w:val="00192553"/>
    <w:rsid w:val="001F7DDF"/>
    <w:rsid w:val="002A2BFE"/>
    <w:rsid w:val="002D3F64"/>
    <w:rsid w:val="002E5FF9"/>
    <w:rsid w:val="00330492"/>
    <w:rsid w:val="00406DE4"/>
    <w:rsid w:val="00434BCC"/>
    <w:rsid w:val="00452178"/>
    <w:rsid w:val="004F20D3"/>
    <w:rsid w:val="004F287A"/>
    <w:rsid w:val="00507D0E"/>
    <w:rsid w:val="005A2461"/>
    <w:rsid w:val="00604513"/>
    <w:rsid w:val="006744A7"/>
    <w:rsid w:val="00713F56"/>
    <w:rsid w:val="007451FD"/>
    <w:rsid w:val="007B5556"/>
    <w:rsid w:val="007D1FCE"/>
    <w:rsid w:val="00832FF2"/>
    <w:rsid w:val="008B70FA"/>
    <w:rsid w:val="009216A5"/>
    <w:rsid w:val="00984ABF"/>
    <w:rsid w:val="00A1002A"/>
    <w:rsid w:val="00A21044"/>
    <w:rsid w:val="00A266EE"/>
    <w:rsid w:val="00A53550"/>
    <w:rsid w:val="00AB4B2E"/>
    <w:rsid w:val="00AE69DA"/>
    <w:rsid w:val="00B725D7"/>
    <w:rsid w:val="00C13F27"/>
    <w:rsid w:val="00D669FC"/>
    <w:rsid w:val="00DF4257"/>
    <w:rsid w:val="00E26CB4"/>
    <w:rsid w:val="00E5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1BACD"/>
  <w15:docId w15:val="{4570BE4D-FD0E-4D41-B34A-3F8B5F7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832FF2"/>
  </w:style>
  <w:style w:type="paragraph" w:styleId="a3">
    <w:name w:val="Balloon Text"/>
    <w:basedOn w:val="a"/>
    <w:link w:val="a4"/>
    <w:uiPriority w:val="99"/>
    <w:semiHidden/>
    <w:unhideWhenUsed/>
    <w:rsid w:val="00AE69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9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20D3"/>
    <w:pPr>
      <w:ind w:left="720"/>
      <w:contextualSpacing/>
    </w:pPr>
  </w:style>
  <w:style w:type="character" w:customStyle="1" w:styleId="2">
    <w:name w:val="Основной текст (2)_"/>
    <w:basedOn w:val="a0"/>
    <w:rsid w:val="0098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84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6">
    <w:name w:val="Table Grid"/>
    <w:basedOn w:val="a1"/>
    <w:uiPriority w:val="59"/>
    <w:rsid w:val="001F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216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 Алексеева</cp:lastModifiedBy>
  <cp:revision>2</cp:revision>
  <cp:lastPrinted>2020-02-14T13:01:00Z</cp:lastPrinted>
  <dcterms:created xsi:type="dcterms:W3CDTF">2020-03-25T11:42:00Z</dcterms:created>
  <dcterms:modified xsi:type="dcterms:W3CDTF">2020-03-25T11:42:00Z</dcterms:modified>
</cp:coreProperties>
</file>